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95517">
      <w:pPr>
        <w:spacing w:line="480" w:lineRule="auto"/>
        <w:ind w:left="1104" w:hanging="1104" w:hangingChars="250"/>
        <w:jc w:val="center"/>
        <w:rPr>
          <w:rFonts w:hint="eastAsia" w:ascii="宋体" w:hAnsi="宋体" w:cs="宋体"/>
          <w:b/>
          <w:sz w:val="44"/>
          <w:szCs w:val="44"/>
        </w:rPr>
      </w:pPr>
    </w:p>
    <w:p w14:paraId="55221F08">
      <w:pPr>
        <w:spacing w:line="360" w:lineRule="auto"/>
        <w:jc w:val="center"/>
        <w:rPr>
          <w:rFonts w:hint="eastAsia" w:ascii="黑体" w:hAnsi="宋体" w:eastAsia="黑体"/>
          <w:b/>
          <w:sz w:val="52"/>
          <w:szCs w:val="52"/>
        </w:rPr>
      </w:pPr>
    </w:p>
    <w:p w14:paraId="190D6148">
      <w:pPr>
        <w:spacing w:line="360" w:lineRule="auto"/>
        <w:jc w:val="center"/>
        <w:rPr>
          <w:rFonts w:hint="eastAsia" w:ascii="黑体" w:hAnsi="宋体" w:eastAsia="黑体"/>
          <w:b/>
          <w:sz w:val="52"/>
          <w:szCs w:val="52"/>
        </w:rPr>
      </w:pPr>
    </w:p>
    <w:p w14:paraId="3159C5CC">
      <w:pPr>
        <w:spacing w:line="360" w:lineRule="auto"/>
        <w:jc w:val="center"/>
        <w:rPr>
          <w:rFonts w:hint="eastAsia" w:ascii="黑体" w:hAnsi="宋体" w:eastAsia="黑体"/>
          <w:b/>
          <w:sz w:val="52"/>
          <w:szCs w:val="52"/>
        </w:rPr>
      </w:pPr>
    </w:p>
    <w:p w14:paraId="5C05F741">
      <w:pPr>
        <w:spacing w:line="480" w:lineRule="auto"/>
        <w:jc w:val="center"/>
        <w:rPr>
          <w:rFonts w:hint="eastAsia" w:ascii="黑体" w:hAnsi="宋体" w:eastAsia="黑体"/>
          <w:b/>
          <w:sz w:val="28"/>
          <w:szCs w:val="28"/>
        </w:rPr>
      </w:pPr>
      <w:bookmarkStart w:id="0" w:name="_Hlk200468147"/>
      <w:r>
        <w:rPr>
          <w:rFonts w:hint="eastAsia" w:ascii="宋体" w:hAnsi="宋体" w:cs="宋体"/>
          <w:b/>
          <w:sz w:val="44"/>
          <w:szCs w:val="44"/>
        </w:rPr>
        <w:t>公路路况车辆改装公告申报及后续改装服务采购</w:t>
      </w:r>
    </w:p>
    <w:bookmarkEnd w:id="0"/>
    <w:p w14:paraId="6BEB51C7">
      <w:pPr>
        <w:spacing w:line="360" w:lineRule="auto"/>
        <w:jc w:val="center"/>
        <w:rPr>
          <w:rFonts w:hint="eastAsia" w:ascii="黑体" w:hAnsi="宋体" w:eastAsia="黑体"/>
          <w:b/>
          <w:sz w:val="52"/>
          <w:szCs w:val="52"/>
        </w:rPr>
      </w:pPr>
    </w:p>
    <w:p w14:paraId="3DAD1EFA">
      <w:pPr>
        <w:spacing w:line="360" w:lineRule="auto"/>
        <w:jc w:val="center"/>
        <w:rPr>
          <w:rFonts w:hint="eastAsia" w:ascii="黑体" w:hAnsi="宋体" w:eastAsia="黑体"/>
          <w:b/>
          <w:sz w:val="52"/>
          <w:szCs w:val="52"/>
        </w:rPr>
      </w:pPr>
    </w:p>
    <w:p w14:paraId="358A3503">
      <w:pPr>
        <w:spacing w:line="360" w:lineRule="auto"/>
        <w:jc w:val="center"/>
        <w:rPr>
          <w:rFonts w:hint="eastAsia" w:ascii="黑体" w:hAnsi="宋体" w:eastAsia="黑体"/>
          <w:b/>
          <w:sz w:val="52"/>
          <w:szCs w:val="52"/>
        </w:rPr>
      </w:pPr>
    </w:p>
    <w:p w14:paraId="122085EA">
      <w:pPr>
        <w:spacing w:line="480" w:lineRule="auto"/>
        <w:jc w:val="center"/>
        <w:rPr>
          <w:rFonts w:hint="eastAsia" w:ascii="黑体" w:hAnsi="宋体" w:eastAsia="黑体"/>
          <w:b/>
          <w:sz w:val="52"/>
          <w:szCs w:val="52"/>
        </w:rPr>
      </w:pPr>
      <w:r>
        <w:rPr>
          <w:rFonts w:hint="eastAsia" w:ascii="黑体" w:hAnsi="宋体" w:eastAsia="黑体"/>
          <w:b/>
          <w:sz w:val="52"/>
          <w:szCs w:val="52"/>
        </w:rPr>
        <w:t>询价文件</w:t>
      </w:r>
    </w:p>
    <w:p w14:paraId="04BE22F9">
      <w:pPr>
        <w:spacing w:line="480" w:lineRule="auto"/>
        <w:ind w:firstLine="1265" w:firstLineChars="450"/>
        <w:rPr>
          <w:rFonts w:hint="eastAsia" w:ascii="黑体" w:hAnsi="宋体" w:eastAsia="黑体"/>
          <w:b/>
          <w:sz w:val="28"/>
          <w:szCs w:val="28"/>
        </w:rPr>
      </w:pPr>
    </w:p>
    <w:p w14:paraId="0D507072">
      <w:pPr>
        <w:spacing w:line="480" w:lineRule="auto"/>
        <w:ind w:firstLine="1265" w:firstLineChars="450"/>
        <w:rPr>
          <w:rFonts w:hint="eastAsia" w:ascii="黑体" w:hAnsi="宋体" w:eastAsia="黑体"/>
          <w:b/>
          <w:sz w:val="28"/>
          <w:szCs w:val="28"/>
        </w:rPr>
      </w:pPr>
    </w:p>
    <w:p w14:paraId="61F66B8D">
      <w:pPr>
        <w:spacing w:line="480" w:lineRule="auto"/>
        <w:ind w:firstLine="1265" w:firstLineChars="450"/>
        <w:rPr>
          <w:rFonts w:hint="eastAsia" w:ascii="黑体" w:hAnsi="宋体" w:eastAsia="黑体"/>
          <w:b/>
          <w:sz w:val="28"/>
          <w:szCs w:val="28"/>
        </w:rPr>
      </w:pPr>
    </w:p>
    <w:p w14:paraId="4588EB85">
      <w:pPr>
        <w:spacing w:line="480" w:lineRule="auto"/>
        <w:ind w:firstLine="1265" w:firstLineChars="450"/>
        <w:rPr>
          <w:rFonts w:hint="eastAsia" w:ascii="黑体" w:hAnsi="宋体" w:eastAsia="黑体"/>
          <w:b/>
          <w:sz w:val="28"/>
          <w:szCs w:val="28"/>
        </w:rPr>
      </w:pPr>
    </w:p>
    <w:p w14:paraId="30C02B5A">
      <w:pPr>
        <w:spacing w:line="480" w:lineRule="auto"/>
        <w:ind w:firstLine="1265" w:firstLineChars="450"/>
        <w:rPr>
          <w:rFonts w:hint="eastAsia" w:ascii="黑体" w:hAnsi="宋体" w:eastAsia="黑体"/>
          <w:b/>
          <w:sz w:val="28"/>
          <w:szCs w:val="28"/>
        </w:rPr>
      </w:pPr>
    </w:p>
    <w:p w14:paraId="574BF3F6">
      <w:pPr>
        <w:spacing w:line="480" w:lineRule="auto"/>
        <w:ind w:firstLine="1265" w:firstLineChars="450"/>
        <w:rPr>
          <w:rFonts w:hint="eastAsia" w:ascii="黑体" w:hAnsi="宋体" w:eastAsia="黑体"/>
          <w:b/>
          <w:sz w:val="28"/>
          <w:szCs w:val="28"/>
        </w:rPr>
      </w:pPr>
    </w:p>
    <w:p w14:paraId="17DAFD29">
      <w:pPr>
        <w:spacing w:line="480" w:lineRule="auto"/>
        <w:ind w:firstLine="1265" w:firstLineChars="450"/>
        <w:rPr>
          <w:rFonts w:hint="eastAsia" w:ascii="黑体" w:hAnsi="宋体" w:eastAsia="黑体"/>
          <w:b/>
          <w:sz w:val="28"/>
          <w:szCs w:val="28"/>
        </w:rPr>
      </w:pPr>
      <w:r>
        <w:rPr>
          <w:rFonts w:hint="eastAsia" w:ascii="黑体" w:hAnsi="宋体" w:eastAsia="黑体"/>
          <w:b/>
          <w:sz w:val="28"/>
          <w:szCs w:val="28"/>
        </w:rPr>
        <w:t>询价人：安徽交检交通发展研究中心有限责任公司</w:t>
      </w:r>
    </w:p>
    <w:p w14:paraId="472ECABC">
      <w:pPr>
        <w:spacing w:line="480" w:lineRule="auto"/>
        <w:jc w:val="center"/>
        <w:rPr>
          <w:rFonts w:hint="eastAsia" w:ascii="黑体" w:hAnsi="宋体" w:eastAsia="黑体"/>
          <w:b/>
          <w:sz w:val="28"/>
          <w:szCs w:val="28"/>
        </w:rPr>
      </w:pPr>
      <w:r>
        <w:rPr>
          <w:rFonts w:hint="eastAsia" w:ascii="黑体" w:hAnsi="宋体" w:eastAsia="黑体"/>
          <w:b/>
          <w:sz w:val="28"/>
          <w:szCs w:val="28"/>
        </w:rPr>
        <w:t>2026年1月</w:t>
      </w:r>
    </w:p>
    <w:p w14:paraId="69247B04">
      <w:pPr>
        <w:spacing w:line="480" w:lineRule="auto"/>
        <w:rPr>
          <w:rFonts w:hint="eastAsia" w:ascii="黑体" w:hAnsi="宋体" w:eastAsia="黑体"/>
          <w:b/>
          <w:bCs/>
          <w:sz w:val="28"/>
          <w:szCs w:val="28"/>
        </w:rPr>
      </w:pPr>
    </w:p>
    <w:p w14:paraId="379037CC">
      <w:pPr>
        <w:spacing w:line="480" w:lineRule="auto"/>
        <w:jc w:val="center"/>
        <w:rPr>
          <w:rFonts w:hint="eastAsia" w:ascii="黑体" w:hAnsi="宋体" w:eastAsia="黑体"/>
          <w:b/>
          <w:bCs/>
          <w:sz w:val="28"/>
          <w:szCs w:val="28"/>
        </w:rPr>
      </w:pPr>
      <w:r>
        <w:rPr>
          <w:rFonts w:hint="eastAsia" w:ascii="黑体" w:hAnsi="宋体" w:eastAsia="黑体"/>
          <w:b/>
          <w:bCs/>
          <w:sz w:val="28"/>
          <w:szCs w:val="28"/>
        </w:rPr>
        <w:br w:type="page"/>
      </w:r>
      <w:r>
        <w:rPr>
          <w:rFonts w:hint="eastAsia" w:ascii="黑体" w:hAnsi="宋体" w:eastAsia="黑体"/>
          <w:b/>
          <w:bCs/>
          <w:sz w:val="28"/>
          <w:szCs w:val="28"/>
        </w:rPr>
        <w:t>目录</w:t>
      </w:r>
    </w:p>
    <w:p w14:paraId="32B963CD">
      <w:pPr>
        <w:spacing w:line="480" w:lineRule="auto"/>
        <w:jc w:val="center"/>
        <w:rPr>
          <w:rFonts w:hint="eastAsia" w:ascii="黑体" w:hAnsi="宋体" w:eastAsia="黑体"/>
          <w:sz w:val="28"/>
          <w:szCs w:val="28"/>
        </w:rPr>
      </w:pPr>
    </w:p>
    <w:p w14:paraId="53B4F88D">
      <w:pPr>
        <w:pStyle w:val="17"/>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TOC\o"1-1"\h\z\u</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_Toc20349 </w:instrText>
      </w:r>
      <w:r>
        <w:rPr>
          <w:rFonts w:hint="eastAsia" w:ascii="宋体" w:hAnsi="宋体" w:eastAsia="宋体" w:cs="宋体"/>
          <w:sz w:val="28"/>
          <w:szCs w:val="28"/>
        </w:rPr>
        <w:fldChar w:fldCharType="separate"/>
      </w:r>
      <w:r>
        <w:rPr>
          <w:rFonts w:hint="eastAsia" w:ascii="宋体" w:hAnsi="宋体" w:eastAsia="宋体" w:cs="宋体"/>
          <w:bCs/>
          <w:sz w:val="28"/>
          <w:szCs w:val="28"/>
        </w:rPr>
        <w:t>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_Toc20349 \h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8389D9">
      <w:pPr>
        <w:pStyle w:val="17"/>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_Toc6923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第一章询价供应商须知及前附表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_Toc6923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D6FDB25">
      <w:pPr>
        <w:pStyle w:val="17"/>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_Toc559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第二章采购合同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_Toc559 \h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2531A0">
      <w:pPr>
        <w:pStyle w:val="17"/>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_Toc22092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第三章招标需求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_Toc22092 \h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443242">
      <w:pPr>
        <w:pStyle w:val="17"/>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_Toc18569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第四章询价文件格式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_Toc18569 \h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422CBB4">
      <w:pPr>
        <w:spacing w:line="360" w:lineRule="auto"/>
        <w:ind w:firstLine="28" w:firstLineChars="10"/>
        <w:jc w:val="distribute"/>
        <w:rPr>
          <w:rFonts w:hint="eastAsia" w:ascii="黑体" w:hAnsi="黑体" w:eastAsia="黑体" w:cs="黑体"/>
          <w:sz w:val="28"/>
          <w:szCs w:val="28"/>
        </w:rPr>
      </w:pPr>
      <w:r>
        <w:rPr>
          <w:rFonts w:hint="eastAsia" w:ascii="宋体" w:hAnsi="宋体" w:eastAsia="宋体" w:cs="宋体"/>
          <w:sz w:val="28"/>
          <w:szCs w:val="28"/>
        </w:rPr>
        <w:fldChar w:fldCharType="end"/>
      </w:r>
    </w:p>
    <w:p w14:paraId="35ED86D7">
      <w:pPr>
        <w:adjustRightInd w:val="0"/>
        <w:snapToGrid w:val="0"/>
        <w:spacing w:line="360" w:lineRule="auto"/>
        <w:jc w:val="center"/>
        <w:rPr>
          <w:rFonts w:hint="eastAsia" w:ascii="宋体" w:hAnsi="宋体" w:cs="宋体"/>
          <w:b/>
          <w:bCs/>
          <w:sz w:val="30"/>
          <w:szCs w:val="30"/>
        </w:rPr>
      </w:pPr>
      <w:r>
        <w:rPr>
          <w:rFonts w:hint="eastAsia" w:ascii="黑体" w:hAnsi="宋体" w:eastAsia="黑体"/>
          <w:bCs/>
          <w:sz w:val="28"/>
          <w:szCs w:val="28"/>
        </w:rPr>
        <w:br w:type="page"/>
      </w:r>
      <w:bookmarkStart w:id="1" w:name="OLE_LINK1"/>
      <w:bookmarkStart w:id="2" w:name="OLE_LINK2"/>
      <w:bookmarkStart w:id="3" w:name="_Hlk199227319"/>
      <w:r>
        <w:rPr>
          <w:rFonts w:hint="eastAsia" w:ascii="宋体" w:hAnsi="宋体" w:cs="宋体"/>
          <w:b/>
          <w:bCs/>
          <w:sz w:val="30"/>
          <w:szCs w:val="30"/>
        </w:rPr>
        <w:t>公路路况车辆改装公告申报及后续改装服务采购</w:t>
      </w:r>
    </w:p>
    <w:p w14:paraId="745AC6C3">
      <w:pPr>
        <w:adjustRightInd w:val="0"/>
        <w:snapToGrid w:val="0"/>
        <w:spacing w:line="360" w:lineRule="auto"/>
        <w:jc w:val="center"/>
        <w:outlineLvl w:val="0"/>
        <w:rPr>
          <w:rFonts w:hint="eastAsia" w:ascii="宋体" w:hAnsi="宋体" w:cs="宋体"/>
          <w:b/>
          <w:bCs/>
          <w:sz w:val="30"/>
          <w:szCs w:val="30"/>
        </w:rPr>
      </w:pPr>
      <w:bookmarkStart w:id="4" w:name="_Toc20349"/>
      <w:r>
        <w:rPr>
          <w:rFonts w:hint="eastAsia" w:ascii="宋体" w:hAnsi="宋体" w:cs="宋体"/>
          <w:b/>
          <w:bCs/>
          <w:sz w:val="30"/>
          <w:szCs w:val="30"/>
        </w:rPr>
        <w:t>询价公告</w:t>
      </w:r>
      <w:bookmarkEnd w:id="1"/>
      <w:bookmarkEnd w:id="2"/>
      <w:bookmarkEnd w:id="4"/>
    </w:p>
    <w:p w14:paraId="59880CD1">
      <w:pPr>
        <w:pStyle w:val="20"/>
        <w:widowControl/>
        <w:spacing w:before="0" w:beforeAutospacing="0" w:after="0" w:afterAutospacing="0" w:line="480" w:lineRule="exact"/>
        <w:jc w:val="both"/>
        <w:rPr>
          <w:rFonts w:hint="eastAsia" w:ascii="黑体" w:hAnsi="宋体" w:eastAsia="黑体" w:cs="黑体"/>
          <w:sz w:val="31"/>
          <w:szCs w:val="31"/>
        </w:rPr>
      </w:pPr>
      <w:r>
        <w:rPr>
          <w:rStyle w:val="26"/>
          <w:rFonts w:ascii="黑体" w:hAnsi="宋体" w:eastAsia="黑体" w:cs="黑体"/>
          <w:sz w:val="27"/>
          <w:szCs w:val="27"/>
        </w:rPr>
        <w:t>一、项目基本情况</w:t>
      </w:r>
    </w:p>
    <w:p w14:paraId="53609002">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项目名称：</w:t>
      </w:r>
      <w:bookmarkStart w:id="5" w:name="_Hlk200531478"/>
      <w:r>
        <w:rPr>
          <w:rFonts w:hint="eastAsia" w:ascii="仿宋" w:hAnsi="仿宋" w:eastAsia="仿宋" w:cs="仿宋"/>
          <w:sz w:val="27"/>
          <w:szCs w:val="27"/>
        </w:rPr>
        <w:t>公路路况车辆改装公告申报及后续改装服务采购</w:t>
      </w:r>
    </w:p>
    <w:bookmarkEnd w:id="5"/>
    <w:p w14:paraId="3A816DA6">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采购方式：公开询价</w:t>
      </w:r>
    </w:p>
    <w:p w14:paraId="125859BE">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预算金额（万元）：31</w:t>
      </w:r>
      <w:r>
        <w:rPr>
          <w:rFonts w:ascii="仿宋" w:hAnsi="仿宋" w:eastAsia="仿宋" w:cs="仿宋"/>
          <w:sz w:val="27"/>
          <w:szCs w:val="27"/>
        </w:rPr>
        <w:t>.0</w:t>
      </w:r>
    </w:p>
    <w:p w14:paraId="627778BB">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最高限价（万元）：31</w:t>
      </w:r>
      <w:r>
        <w:rPr>
          <w:rFonts w:ascii="仿宋" w:hAnsi="仿宋" w:eastAsia="仿宋" w:cs="仿宋"/>
          <w:sz w:val="27"/>
          <w:szCs w:val="27"/>
        </w:rPr>
        <w:t>.0</w:t>
      </w:r>
    </w:p>
    <w:p w14:paraId="1C5F8C4E">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服务期：自合同签订之日起，100个工作日内取得《道路机动车辆生产企业及产品公告》批复。</w:t>
      </w:r>
    </w:p>
    <w:p w14:paraId="1896552B">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项目概况及需求：</w:t>
      </w:r>
      <w:bookmarkStart w:id="6" w:name="_Hlk200532382"/>
      <w:r>
        <w:rPr>
          <w:rFonts w:hint="eastAsia" w:ascii="仿宋" w:hAnsi="仿宋" w:eastAsia="仿宋" w:cs="仿宋"/>
          <w:sz w:val="27"/>
          <w:szCs w:val="27"/>
        </w:rPr>
        <w:t>为保障公路路况车辆改装工作合法合规，需要配合询价人完成</w:t>
      </w:r>
      <w:r>
        <w:rPr>
          <w:rFonts w:hint="eastAsia" w:ascii="仿宋" w:hAnsi="仿宋" w:eastAsia="仿宋" w:cs="仿宋"/>
          <w:b/>
          <w:bCs/>
          <w:sz w:val="27"/>
          <w:szCs w:val="27"/>
        </w:rPr>
        <w:t>公路路况检测车辆改装公告申报及</w:t>
      </w:r>
      <w:r>
        <w:rPr>
          <w:rFonts w:hint="eastAsia" w:ascii="仿宋" w:hAnsi="仿宋" w:eastAsia="仿宋" w:cs="仿宋"/>
          <w:b/>
          <w:bCs/>
          <w:sz w:val="27"/>
          <w:szCs w:val="27"/>
          <w:lang w:val="en-US" w:eastAsia="zh-CN"/>
        </w:rPr>
        <w:t>后续改装</w:t>
      </w:r>
      <w:r>
        <w:rPr>
          <w:rFonts w:hint="eastAsia" w:ascii="仿宋" w:hAnsi="仿宋" w:eastAsia="仿宋" w:cs="仿宋"/>
          <w:sz w:val="27"/>
          <w:szCs w:val="27"/>
        </w:rPr>
        <w:t>等全流程服务。具体车型需符合检测作业要求，服务内容包括但不限于：</w:t>
      </w:r>
      <w:r>
        <w:rPr>
          <w:rFonts w:hint="eastAsia" w:ascii="仿宋" w:hAnsi="仿宋" w:eastAsia="仿宋" w:cs="仿宋"/>
          <w:b/>
          <w:bCs/>
          <w:sz w:val="27"/>
          <w:szCs w:val="27"/>
          <w:lang w:val="en-US" w:eastAsia="zh-CN"/>
        </w:rPr>
        <w:t>自行</w:t>
      </w:r>
      <w:r>
        <w:rPr>
          <w:rFonts w:hint="eastAsia" w:ascii="仿宋" w:hAnsi="仿宋" w:eastAsia="仿宋" w:cs="仿宋"/>
          <w:b/>
          <w:bCs/>
          <w:sz w:val="27"/>
          <w:szCs w:val="27"/>
        </w:rPr>
        <w:t>提供用于公告申报的测试车辆</w:t>
      </w:r>
      <w:r>
        <w:rPr>
          <w:rFonts w:hint="eastAsia" w:ascii="仿宋" w:hAnsi="仿宋" w:eastAsia="仿宋" w:cs="仿宋"/>
          <w:sz w:val="27"/>
          <w:szCs w:val="27"/>
        </w:rPr>
        <w:t>、拟申报车辆技术方案合规性审核、申报材料编制（含技术参数备案、检测报告对接）、公路路况车辆改装技术标准制定、改装公告文本编制、公告发布（涵盖政府指定平台、行业媒体等渠道）、潜在改装单位咨询答疑、改装方案合规性审核、工信部及地方主管部门沟通协调、公告申报系统操作、公告获批后的资料归档及后续答疑、</w:t>
      </w:r>
      <w:r>
        <w:rPr>
          <w:rFonts w:hint="eastAsia" w:ascii="仿宋" w:hAnsi="仿宋" w:eastAsia="仿宋" w:cs="仿宋"/>
          <w:sz w:val="27"/>
          <w:szCs w:val="27"/>
          <w:lang w:val="en-US" w:eastAsia="zh-CN"/>
        </w:rPr>
        <w:t>后期</w:t>
      </w:r>
      <w:r>
        <w:rPr>
          <w:rFonts w:hint="eastAsia" w:ascii="仿宋" w:hAnsi="仿宋" w:eastAsia="仿宋" w:cs="仿宋"/>
          <w:sz w:val="27"/>
          <w:szCs w:val="27"/>
        </w:rPr>
        <w:t>按照公告批复要求对车辆进行改装等全流程服务。</w:t>
      </w:r>
      <w:bookmarkEnd w:id="6"/>
      <w:r>
        <w:rPr>
          <w:rFonts w:hint="eastAsia" w:ascii="仿宋" w:hAnsi="仿宋" w:eastAsia="仿宋" w:cs="仿宋"/>
          <w:sz w:val="27"/>
          <w:szCs w:val="27"/>
        </w:rPr>
        <w:t>具体要求见第三章项目需求及服务要求。</w:t>
      </w:r>
    </w:p>
    <w:p w14:paraId="5A4E1B60">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本项目不接受联合体。</w:t>
      </w:r>
    </w:p>
    <w:p w14:paraId="017D1A08">
      <w:pPr>
        <w:pStyle w:val="20"/>
        <w:widowControl/>
        <w:spacing w:before="0" w:beforeAutospacing="0" w:after="0" w:afterAutospacing="0" w:line="480" w:lineRule="exact"/>
        <w:jc w:val="both"/>
        <w:rPr>
          <w:rFonts w:hint="eastAsia" w:ascii="黑体" w:hAnsi="宋体" w:eastAsia="黑体" w:cs="黑体"/>
          <w:sz w:val="27"/>
          <w:szCs w:val="27"/>
        </w:rPr>
      </w:pPr>
      <w:r>
        <w:rPr>
          <w:rStyle w:val="26"/>
          <w:rFonts w:ascii="黑体" w:hAnsi="宋体" w:eastAsia="黑体" w:cs="黑体"/>
          <w:sz w:val="27"/>
          <w:szCs w:val="27"/>
        </w:rPr>
        <w:t>二、</w:t>
      </w:r>
      <w:bookmarkStart w:id="7" w:name="_Hlk196298865"/>
      <w:r>
        <w:rPr>
          <w:rStyle w:val="26"/>
          <w:rFonts w:ascii="黑体" w:hAnsi="宋体" w:eastAsia="黑体" w:cs="黑体"/>
          <w:sz w:val="27"/>
          <w:szCs w:val="27"/>
        </w:rPr>
        <w:t>申请人的资格</w:t>
      </w:r>
      <w:bookmarkEnd w:id="7"/>
      <w:r>
        <w:rPr>
          <w:rStyle w:val="26"/>
          <w:rFonts w:ascii="黑体" w:hAnsi="宋体" w:eastAsia="黑体" w:cs="黑体"/>
          <w:sz w:val="27"/>
          <w:szCs w:val="27"/>
        </w:rPr>
        <w:t>要求：</w:t>
      </w:r>
    </w:p>
    <w:p w14:paraId="375C4474">
      <w:pPr>
        <w:pStyle w:val="20"/>
        <w:widowControl/>
        <w:spacing w:before="0" w:beforeAutospacing="0" w:after="0" w:afterAutospacing="0" w:line="480" w:lineRule="exact"/>
        <w:ind w:firstLine="540" w:firstLineChars="200"/>
      </w:pPr>
      <w:r>
        <w:rPr>
          <w:rFonts w:hint="eastAsia" w:ascii="仿宋" w:hAnsi="仿宋" w:eastAsia="仿宋" w:cs="仿宋"/>
          <w:sz w:val="27"/>
          <w:szCs w:val="27"/>
        </w:rPr>
        <w:t>1.满足《中华人民共和国政府采购法》第二十二条规定；</w:t>
      </w:r>
    </w:p>
    <w:p w14:paraId="69BADBAC">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2.具有独立承担民事责任的能力（提供有效的营业执照或有效的事业单位法人证书），</w:t>
      </w:r>
      <w:bookmarkStart w:id="8" w:name="OLE_LINK3"/>
      <w:r>
        <w:rPr>
          <w:rFonts w:hint="eastAsia" w:ascii="仿宋" w:hAnsi="仿宋" w:eastAsia="仿宋" w:cs="仿宋"/>
          <w:sz w:val="27"/>
          <w:szCs w:val="27"/>
        </w:rPr>
        <w:t>具备</w:t>
      </w:r>
      <w:r>
        <w:rPr>
          <w:rFonts w:hint="eastAsia" w:ascii="仿宋" w:hAnsi="仿宋" w:eastAsia="仿宋" w:cs="仿宋"/>
          <w:b/>
          <w:bCs/>
          <w:sz w:val="27"/>
          <w:szCs w:val="27"/>
        </w:rPr>
        <w:t>车辆改装</w:t>
      </w:r>
      <w:r>
        <w:rPr>
          <w:rFonts w:hint="eastAsia" w:ascii="仿宋" w:hAnsi="仿宋" w:eastAsia="仿宋" w:cs="仿宋"/>
          <w:sz w:val="27"/>
          <w:szCs w:val="27"/>
        </w:rPr>
        <w:t>及</w:t>
      </w:r>
      <w:r>
        <w:rPr>
          <w:rFonts w:hint="eastAsia" w:ascii="仿宋" w:hAnsi="仿宋" w:eastAsia="仿宋" w:cs="仿宋"/>
          <w:b/>
          <w:bCs/>
          <w:sz w:val="27"/>
          <w:szCs w:val="27"/>
        </w:rPr>
        <w:t>车辆改装公告申报</w:t>
      </w:r>
      <w:r>
        <w:rPr>
          <w:rFonts w:hint="eastAsia" w:ascii="仿宋" w:hAnsi="仿宋" w:eastAsia="仿宋" w:cs="仿宋"/>
          <w:sz w:val="27"/>
          <w:szCs w:val="27"/>
        </w:rPr>
        <w:t>能力</w:t>
      </w:r>
      <w:bookmarkEnd w:id="8"/>
      <w:r>
        <w:rPr>
          <w:rFonts w:hint="eastAsia" w:ascii="仿宋" w:hAnsi="仿宋" w:eastAsia="仿宋" w:cs="仿宋"/>
          <w:color w:val="auto"/>
          <w:sz w:val="27"/>
          <w:szCs w:val="27"/>
        </w:rPr>
        <w:t>（需提供道路机动车辆生产企业准入资质（或对应专项改装资质））</w:t>
      </w:r>
      <w:r>
        <w:rPr>
          <w:rFonts w:hint="eastAsia" w:ascii="仿宋" w:hAnsi="仿宋" w:eastAsia="仿宋" w:cs="仿宋"/>
          <w:sz w:val="27"/>
          <w:szCs w:val="27"/>
        </w:rPr>
        <w:t>；</w:t>
      </w:r>
    </w:p>
    <w:p w14:paraId="408A505E">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ascii="仿宋" w:hAnsi="仿宋" w:eastAsia="仿宋" w:cs="仿宋"/>
          <w:sz w:val="27"/>
          <w:szCs w:val="27"/>
        </w:rPr>
        <w:t>3</w:t>
      </w:r>
      <w:r>
        <w:rPr>
          <w:rFonts w:hint="eastAsia" w:ascii="仿宋" w:hAnsi="仿宋" w:eastAsia="仿宋" w:cs="仿宋"/>
          <w:sz w:val="27"/>
          <w:szCs w:val="27"/>
        </w:rPr>
        <w:t>.</w:t>
      </w:r>
      <w:bookmarkStart w:id="9" w:name="OLE_LINK16"/>
      <w:r>
        <w:rPr>
          <w:rFonts w:hint="eastAsia" w:ascii="仿宋" w:hAnsi="仿宋" w:eastAsia="仿宋" w:cs="仿宋"/>
          <w:sz w:val="27"/>
          <w:szCs w:val="27"/>
        </w:rPr>
        <w:t>自20</w:t>
      </w:r>
      <w:r>
        <w:rPr>
          <w:rFonts w:ascii="仿宋" w:hAnsi="仿宋" w:eastAsia="仿宋" w:cs="仿宋"/>
          <w:sz w:val="27"/>
          <w:szCs w:val="27"/>
        </w:rPr>
        <w:t>20</w:t>
      </w:r>
      <w:r>
        <w:rPr>
          <w:rFonts w:hint="eastAsia" w:ascii="仿宋" w:hAnsi="仿宋" w:eastAsia="仿宋" w:cs="仿宋"/>
          <w:sz w:val="27"/>
          <w:szCs w:val="27"/>
        </w:rPr>
        <w:t>年1月1日以来（以合同签订时间为准），供应商至少具有1项</w:t>
      </w:r>
      <w:r>
        <w:rPr>
          <w:rFonts w:hint="eastAsia" w:ascii="仿宋" w:hAnsi="仿宋" w:eastAsia="仿宋" w:cs="仿宋"/>
          <w:b/>
          <w:bCs/>
          <w:sz w:val="27"/>
          <w:szCs w:val="27"/>
        </w:rPr>
        <w:t>车辆改装</w:t>
      </w:r>
      <w:r>
        <w:rPr>
          <w:rFonts w:hint="eastAsia" w:ascii="仿宋" w:hAnsi="仿宋" w:eastAsia="仿宋" w:cs="仿宋"/>
          <w:sz w:val="27"/>
          <w:szCs w:val="27"/>
        </w:rPr>
        <w:t>及</w:t>
      </w:r>
      <w:r>
        <w:rPr>
          <w:rFonts w:hint="eastAsia" w:ascii="仿宋" w:hAnsi="仿宋" w:eastAsia="仿宋" w:cs="仿宋"/>
          <w:b/>
          <w:bCs/>
          <w:sz w:val="27"/>
          <w:szCs w:val="27"/>
        </w:rPr>
        <w:t>车辆改装公告申报</w:t>
      </w:r>
      <w:r>
        <w:rPr>
          <w:rFonts w:hint="eastAsia" w:ascii="仿宋" w:hAnsi="仿宋" w:eastAsia="仿宋" w:cs="仿宋"/>
          <w:sz w:val="27"/>
          <w:szCs w:val="27"/>
        </w:rPr>
        <w:t>成功案例。（注：需提供合同、申报成功公告截图或扫描复印件等证明材料）</w:t>
      </w:r>
      <w:bookmarkEnd w:id="9"/>
      <w:r>
        <w:rPr>
          <w:rFonts w:hint="eastAsia" w:ascii="仿宋" w:hAnsi="仿宋" w:eastAsia="仿宋" w:cs="仿宋"/>
          <w:sz w:val="27"/>
          <w:szCs w:val="27"/>
        </w:rPr>
        <w:t>；</w:t>
      </w:r>
    </w:p>
    <w:p w14:paraId="1539FBCB">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4.投标人自2022年1月1日以来存在以下不良信用记录情形之一的，不得推荐为中标候选人，不得确定为中标人：</w:t>
      </w:r>
    </w:p>
    <w:p w14:paraId="6C7D65D2">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 xml:space="preserve">（1）处于被责令停产停业、暂扣或者吊销执照、暂扣或者吊销许可证、吊销资质证书状态； </w:t>
      </w:r>
    </w:p>
    <w:p w14:paraId="21B829A5">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（2）进入清算程序，或被宣告破产，或其他丧失履约能力的情形；</w:t>
      </w:r>
    </w:p>
    <w:p w14:paraId="31225843">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（3）在国家企业信用信息公示系统（http://www.gsxt.gov.cn/）中被列入严重违法失信企业名单；</w:t>
      </w:r>
    </w:p>
    <w:p w14:paraId="0DA0DA75">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 xml:space="preserve">（4）在“中国执行信息公开网”（http://zxgk.court.gov.cn/）中被列入失信被执行人名单； </w:t>
      </w:r>
    </w:p>
    <w:p w14:paraId="6EE9855B">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（5）投标人或其法定代表人在近三年内有行贿犯罪行为的；</w:t>
      </w:r>
    </w:p>
    <w:p w14:paraId="1C6443FD">
      <w:pPr>
        <w:pStyle w:val="20"/>
        <w:widowControl/>
        <w:spacing w:before="0" w:beforeAutospacing="0" w:after="0" w:afterAutospacing="0" w:line="480" w:lineRule="exact"/>
        <w:jc w:val="both"/>
        <w:rPr>
          <w:rFonts w:hint="eastAsia" w:ascii="黑体" w:hAnsi="宋体" w:eastAsia="黑体" w:cs="黑体"/>
          <w:sz w:val="27"/>
          <w:szCs w:val="27"/>
        </w:rPr>
      </w:pPr>
      <w:r>
        <w:rPr>
          <w:rStyle w:val="26"/>
          <w:rFonts w:ascii="黑体" w:hAnsi="宋体" w:eastAsia="黑体" w:cs="黑体"/>
          <w:sz w:val="27"/>
          <w:szCs w:val="27"/>
        </w:rPr>
        <w:t>三、获取</w:t>
      </w:r>
      <w:r>
        <w:rPr>
          <w:rStyle w:val="26"/>
          <w:rFonts w:hint="eastAsia" w:ascii="黑体" w:hAnsi="宋体" w:eastAsia="黑体" w:cs="黑体"/>
          <w:sz w:val="27"/>
          <w:szCs w:val="27"/>
        </w:rPr>
        <w:t>询价</w:t>
      </w:r>
      <w:r>
        <w:rPr>
          <w:rStyle w:val="26"/>
          <w:rFonts w:ascii="黑体" w:hAnsi="宋体" w:eastAsia="黑体" w:cs="黑体"/>
          <w:sz w:val="27"/>
          <w:szCs w:val="27"/>
        </w:rPr>
        <w:t>文件</w:t>
      </w:r>
    </w:p>
    <w:p w14:paraId="4D90F882">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highlight w:val="none"/>
        </w:rPr>
        <w:t>潜在供应商请于20</w:t>
      </w:r>
      <w:r>
        <w:rPr>
          <w:rFonts w:ascii="仿宋" w:hAnsi="仿宋" w:eastAsia="仿宋" w:cs="仿宋"/>
          <w:sz w:val="27"/>
          <w:szCs w:val="27"/>
          <w:highlight w:val="none"/>
        </w:rPr>
        <w:t>2</w:t>
      </w:r>
      <w:r>
        <w:rPr>
          <w:rFonts w:hint="eastAsia" w:ascii="仿宋" w:hAnsi="仿宋" w:eastAsia="仿宋" w:cs="仿宋"/>
          <w:sz w:val="27"/>
          <w:szCs w:val="27"/>
          <w:highlight w:val="none"/>
        </w:rPr>
        <w:t>6年1月</w:t>
      </w:r>
      <w:r>
        <w:rPr>
          <w:rFonts w:ascii="仿宋" w:hAnsi="仿宋" w:eastAsia="仿宋" w:cs="仿宋"/>
          <w:sz w:val="27"/>
          <w:szCs w:val="27"/>
          <w:highlight w:val="none"/>
        </w:rPr>
        <w:t>1</w:t>
      </w:r>
      <w:r>
        <w:rPr>
          <w:rFonts w:hint="eastAsia" w:ascii="仿宋" w:hAnsi="仿宋" w:eastAsia="仿宋" w:cs="仿宋"/>
          <w:sz w:val="27"/>
          <w:szCs w:val="27"/>
          <w:highlight w:val="none"/>
          <w:lang w:val="en-US" w:eastAsia="zh-CN"/>
        </w:rPr>
        <w:t>9</w:t>
      </w:r>
      <w:r>
        <w:rPr>
          <w:rFonts w:hint="eastAsia" w:ascii="仿宋" w:hAnsi="仿宋" w:eastAsia="仿宋" w:cs="仿宋"/>
          <w:sz w:val="27"/>
          <w:szCs w:val="27"/>
          <w:highlight w:val="none"/>
        </w:rPr>
        <w:t>日至20</w:t>
      </w:r>
      <w:r>
        <w:rPr>
          <w:rFonts w:ascii="仿宋" w:hAnsi="仿宋" w:eastAsia="仿宋" w:cs="仿宋"/>
          <w:sz w:val="27"/>
          <w:szCs w:val="27"/>
          <w:highlight w:val="none"/>
        </w:rPr>
        <w:t>2</w:t>
      </w:r>
      <w:r>
        <w:rPr>
          <w:rFonts w:hint="eastAsia" w:ascii="仿宋" w:hAnsi="仿宋" w:eastAsia="仿宋" w:cs="仿宋"/>
          <w:sz w:val="27"/>
          <w:szCs w:val="27"/>
          <w:highlight w:val="none"/>
        </w:rPr>
        <w:t>6年1月</w:t>
      </w:r>
      <w:r>
        <w:rPr>
          <w:rFonts w:hint="eastAsia" w:ascii="仿宋" w:hAnsi="仿宋" w:eastAsia="仿宋" w:cs="仿宋"/>
          <w:sz w:val="27"/>
          <w:szCs w:val="27"/>
          <w:highlight w:val="none"/>
          <w:lang w:val="en-US" w:eastAsia="zh-CN"/>
        </w:rPr>
        <w:t>21</w:t>
      </w:r>
      <w:r>
        <w:rPr>
          <w:rFonts w:hint="eastAsia" w:ascii="仿宋" w:hAnsi="仿宋" w:eastAsia="仿宋" w:cs="仿宋"/>
          <w:sz w:val="27"/>
          <w:szCs w:val="27"/>
          <w:highlight w:val="none"/>
        </w:rPr>
        <w:t>日（北京时间，</w:t>
      </w:r>
      <w:r>
        <w:rPr>
          <w:rFonts w:hint="eastAsia" w:ascii="仿宋" w:hAnsi="仿宋" w:eastAsia="仿宋" w:cs="仿宋"/>
          <w:sz w:val="27"/>
          <w:szCs w:val="27"/>
        </w:rPr>
        <w:t>下同）前，在安徽省公路工程检测中心（</w:t>
      </w:r>
      <w:r>
        <w:rPr>
          <w:rFonts w:ascii="仿宋" w:hAnsi="仿宋" w:eastAsia="仿宋" w:cs="仿宋"/>
          <w:sz w:val="27"/>
          <w:szCs w:val="27"/>
        </w:rPr>
        <w:t>http</w:t>
      </w:r>
      <w:r>
        <w:rPr>
          <w:rFonts w:hint="eastAsia" w:ascii="仿宋" w:hAnsi="仿宋" w:eastAsia="仿宋" w:cs="仿宋"/>
          <w:sz w:val="27"/>
          <w:szCs w:val="27"/>
        </w:rPr>
        <w:t>：</w:t>
      </w:r>
      <w:r>
        <w:rPr>
          <w:rFonts w:ascii="仿宋" w:hAnsi="仿宋" w:eastAsia="仿宋" w:cs="仿宋"/>
          <w:sz w:val="27"/>
          <w:szCs w:val="27"/>
        </w:rPr>
        <w:t>//www.ahgljc.com/</w:t>
      </w:r>
      <w:r>
        <w:rPr>
          <w:rFonts w:hint="eastAsia" w:ascii="仿宋" w:hAnsi="仿宋" w:eastAsia="仿宋" w:cs="仿宋"/>
          <w:sz w:val="27"/>
          <w:szCs w:val="27"/>
        </w:rPr>
        <w:t>）网站自行获取。</w:t>
      </w:r>
    </w:p>
    <w:p w14:paraId="4D9A6486">
      <w:pPr>
        <w:pStyle w:val="20"/>
        <w:widowControl/>
        <w:spacing w:before="0" w:beforeAutospacing="0" w:after="0" w:afterAutospacing="0" w:line="480" w:lineRule="exact"/>
        <w:rPr>
          <w:rFonts w:hint="eastAsia" w:ascii="黑体" w:hAnsi="宋体" w:eastAsia="黑体" w:cs="黑体"/>
          <w:sz w:val="27"/>
          <w:szCs w:val="27"/>
        </w:rPr>
      </w:pPr>
      <w:r>
        <w:rPr>
          <w:rStyle w:val="26"/>
          <w:rFonts w:ascii="黑体" w:hAnsi="宋体" w:eastAsia="黑体" w:cs="黑体"/>
          <w:sz w:val="27"/>
          <w:szCs w:val="27"/>
        </w:rPr>
        <w:t>四、</w:t>
      </w:r>
      <w:r>
        <w:rPr>
          <w:rStyle w:val="26"/>
          <w:rFonts w:hint="eastAsia" w:ascii="黑体" w:hAnsi="宋体" w:eastAsia="黑体" w:cs="黑体"/>
          <w:sz w:val="27"/>
          <w:szCs w:val="27"/>
        </w:rPr>
        <w:t>报价</w:t>
      </w:r>
      <w:r>
        <w:rPr>
          <w:rStyle w:val="26"/>
          <w:rFonts w:ascii="黑体" w:hAnsi="宋体" w:eastAsia="黑体" w:cs="黑体"/>
          <w:sz w:val="27"/>
          <w:szCs w:val="27"/>
        </w:rPr>
        <w:t>文件提交</w:t>
      </w:r>
    </w:p>
    <w:p w14:paraId="370F4597">
      <w:pPr>
        <w:pStyle w:val="20"/>
        <w:widowControl/>
        <w:spacing w:before="0" w:beforeAutospacing="0" w:after="0" w:afterAutospacing="0" w:line="480" w:lineRule="exact"/>
        <w:ind w:firstLine="540" w:firstLineChars="200"/>
      </w:pPr>
      <w:bookmarkStart w:id="10" w:name="_Hlk200984163"/>
      <w:r>
        <w:rPr>
          <w:rFonts w:hint="eastAsia" w:ascii="仿宋" w:hAnsi="仿宋" w:eastAsia="仿宋" w:cs="仿宋"/>
          <w:sz w:val="27"/>
          <w:szCs w:val="27"/>
        </w:rPr>
        <w:t>截止时间</w:t>
      </w:r>
      <w:r>
        <w:rPr>
          <w:rFonts w:hint="eastAsia" w:ascii="仿宋" w:hAnsi="仿宋" w:eastAsia="仿宋" w:cs="仿宋"/>
          <w:sz w:val="27"/>
          <w:szCs w:val="27"/>
          <w:highlight w:val="none"/>
        </w:rPr>
        <w:t>：20</w:t>
      </w:r>
      <w:r>
        <w:rPr>
          <w:rFonts w:ascii="仿宋" w:hAnsi="仿宋" w:eastAsia="仿宋" w:cs="仿宋"/>
          <w:sz w:val="27"/>
          <w:szCs w:val="27"/>
          <w:highlight w:val="none"/>
        </w:rPr>
        <w:t>2</w:t>
      </w:r>
      <w:r>
        <w:rPr>
          <w:rFonts w:hint="eastAsia" w:ascii="仿宋" w:hAnsi="仿宋" w:eastAsia="仿宋" w:cs="仿宋"/>
          <w:sz w:val="27"/>
          <w:szCs w:val="27"/>
          <w:highlight w:val="none"/>
        </w:rPr>
        <w:t>6年1月</w:t>
      </w:r>
      <w:r>
        <w:rPr>
          <w:rFonts w:hint="eastAsia" w:ascii="仿宋" w:hAnsi="仿宋" w:eastAsia="仿宋" w:cs="仿宋"/>
          <w:sz w:val="27"/>
          <w:szCs w:val="27"/>
          <w:highlight w:val="none"/>
          <w:lang w:val="en-US" w:eastAsia="zh-CN"/>
        </w:rPr>
        <w:t>22</w:t>
      </w:r>
      <w:r>
        <w:rPr>
          <w:rFonts w:hint="eastAsia" w:ascii="仿宋" w:hAnsi="仿宋" w:eastAsia="仿宋" w:cs="仿宋"/>
          <w:sz w:val="27"/>
          <w:szCs w:val="27"/>
          <w:highlight w:val="none"/>
        </w:rPr>
        <w:t>日</w:t>
      </w:r>
      <w:r>
        <w:rPr>
          <w:rFonts w:hint="eastAsia" w:ascii="仿宋" w:hAnsi="仿宋" w:eastAsia="仿宋" w:cs="仿宋"/>
          <w:sz w:val="27"/>
          <w:szCs w:val="27"/>
          <w:highlight w:val="none"/>
          <w:lang w:val="en-US" w:eastAsia="zh-CN"/>
        </w:rPr>
        <w:t>09</w:t>
      </w:r>
      <w:r>
        <w:rPr>
          <w:rFonts w:hint="eastAsia" w:ascii="仿宋" w:hAnsi="仿宋" w:eastAsia="仿宋" w:cs="仿宋"/>
          <w:sz w:val="27"/>
          <w:szCs w:val="27"/>
          <w:highlight w:val="none"/>
        </w:rPr>
        <w:t>：</w:t>
      </w:r>
      <w:r>
        <w:rPr>
          <w:rFonts w:ascii="仿宋" w:hAnsi="仿宋" w:eastAsia="仿宋" w:cs="仿宋"/>
          <w:sz w:val="27"/>
          <w:szCs w:val="27"/>
          <w:highlight w:val="none"/>
        </w:rPr>
        <w:t>30</w:t>
      </w:r>
      <w:r>
        <w:rPr>
          <w:rFonts w:hint="eastAsia" w:ascii="仿宋" w:hAnsi="仿宋" w:eastAsia="仿宋" w:cs="仿宋"/>
          <w:sz w:val="27"/>
          <w:szCs w:val="27"/>
          <w:highlight w:val="none"/>
        </w:rPr>
        <w:t>（</w:t>
      </w:r>
      <w:r>
        <w:rPr>
          <w:rFonts w:hint="eastAsia" w:ascii="仿宋" w:hAnsi="仿宋" w:eastAsia="仿宋" w:cs="仿宋"/>
          <w:sz w:val="27"/>
          <w:szCs w:val="27"/>
        </w:rPr>
        <w:t>报价文件可采取现场递交和邮寄递交两种方式，邮寄方式送达应以招标人实际收到时间为准，邮寄地址和收件人见招标人联系方式）。</w:t>
      </w:r>
      <w:bookmarkEnd w:id="10"/>
    </w:p>
    <w:p w14:paraId="5FED94AF">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地点：</w:t>
      </w:r>
      <w:bookmarkStart w:id="11" w:name="_Hlk194929550"/>
      <w:r>
        <w:rPr>
          <w:rFonts w:hint="eastAsia" w:ascii="仿宋" w:hAnsi="仿宋" w:eastAsia="仿宋" w:cs="仿宋"/>
          <w:sz w:val="27"/>
          <w:szCs w:val="27"/>
        </w:rPr>
        <w:t>合肥市包河工业区西宁路1</w:t>
      </w:r>
      <w:r>
        <w:rPr>
          <w:rFonts w:ascii="仿宋" w:hAnsi="仿宋" w:eastAsia="仿宋" w:cs="仿宋"/>
          <w:sz w:val="27"/>
          <w:szCs w:val="27"/>
        </w:rPr>
        <w:t>6号</w:t>
      </w:r>
      <w:r>
        <w:rPr>
          <w:rFonts w:hint="eastAsia" w:ascii="仿宋" w:hAnsi="仿宋" w:eastAsia="仿宋" w:cs="仿宋"/>
          <w:sz w:val="27"/>
          <w:szCs w:val="27"/>
        </w:rPr>
        <w:t>（安徽交检交通发展研究中心有限责任公司四楼会议室）</w:t>
      </w:r>
      <w:bookmarkEnd w:id="11"/>
      <w:r>
        <w:rPr>
          <w:rFonts w:hint="eastAsia" w:ascii="仿宋" w:hAnsi="仿宋" w:eastAsia="仿宋" w:cs="仿宋"/>
          <w:sz w:val="27"/>
          <w:szCs w:val="27"/>
        </w:rPr>
        <w:t>。</w:t>
      </w:r>
    </w:p>
    <w:p w14:paraId="386DEDD1">
      <w:pPr>
        <w:pStyle w:val="20"/>
        <w:widowControl/>
        <w:spacing w:before="0" w:beforeAutospacing="0" w:after="0" w:afterAutospacing="0" w:line="480" w:lineRule="exact"/>
        <w:jc w:val="both"/>
        <w:rPr>
          <w:rFonts w:hint="eastAsia" w:ascii="黑体" w:hAnsi="宋体" w:eastAsia="黑体" w:cs="黑体"/>
          <w:sz w:val="27"/>
          <w:szCs w:val="27"/>
        </w:rPr>
      </w:pPr>
      <w:r>
        <w:rPr>
          <w:rStyle w:val="26"/>
          <w:rFonts w:ascii="黑体" w:hAnsi="宋体" w:eastAsia="黑体" w:cs="黑体"/>
          <w:sz w:val="27"/>
          <w:szCs w:val="27"/>
        </w:rPr>
        <w:t>五、开启</w:t>
      </w:r>
    </w:p>
    <w:p w14:paraId="6C494882">
      <w:pPr>
        <w:pStyle w:val="20"/>
        <w:widowControl/>
        <w:spacing w:before="0" w:beforeAutospacing="0" w:after="0" w:afterAutospacing="0" w:line="480" w:lineRule="exact"/>
        <w:ind w:firstLine="540" w:firstLineChars="200"/>
        <w:rPr>
          <w:highlight w:val="none"/>
        </w:rPr>
      </w:pPr>
      <w:r>
        <w:rPr>
          <w:rFonts w:hint="eastAsia" w:ascii="仿宋" w:hAnsi="仿宋" w:eastAsia="仿宋" w:cs="仿宋"/>
          <w:sz w:val="27"/>
          <w:szCs w:val="27"/>
          <w:highlight w:val="none"/>
        </w:rPr>
        <w:t>时间：20</w:t>
      </w:r>
      <w:r>
        <w:rPr>
          <w:rFonts w:ascii="仿宋" w:hAnsi="仿宋" w:eastAsia="仿宋" w:cs="仿宋"/>
          <w:sz w:val="27"/>
          <w:szCs w:val="27"/>
          <w:highlight w:val="none"/>
        </w:rPr>
        <w:t>2</w:t>
      </w:r>
      <w:r>
        <w:rPr>
          <w:rFonts w:hint="eastAsia" w:ascii="仿宋" w:hAnsi="仿宋" w:eastAsia="仿宋" w:cs="仿宋"/>
          <w:sz w:val="27"/>
          <w:szCs w:val="27"/>
          <w:highlight w:val="none"/>
        </w:rPr>
        <w:t>6年1月</w:t>
      </w:r>
      <w:r>
        <w:rPr>
          <w:rFonts w:hint="eastAsia" w:ascii="仿宋" w:hAnsi="仿宋" w:eastAsia="仿宋" w:cs="仿宋"/>
          <w:sz w:val="27"/>
          <w:szCs w:val="27"/>
          <w:highlight w:val="none"/>
          <w:lang w:val="en-US" w:eastAsia="zh-CN"/>
        </w:rPr>
        <w:t>22</w:t>
      </w:r>
      <w:r>
        <w:rPr>
          <w:rFonts w:hint="eastAsia" w:ascii="仿宋" w:hAnsi="仿宋" w:eastAsia="仿宋" w:cs="仿宋"/>
          <w:sz w:val="27"/>
          <w:szCs w:val="27"/>
          <w:highlight w:val="none"/>
        </w:rPr>
        <w:t>日</w:t>
      </w:r>
      <w:r>
        <w:rPr>
          <w:rFonts w:hint="eastAsia" w:ascii="仿宋" w:hAnsi="仿宋" w:eastAsia="仿宋" w:cs="仿宋"/>
          <w:sz w:val="27"/>
          <w:szCs w:val="27"/>
          <w:highlight w:val="none"/>
          <w:lang w:val="en-US" w:eastAsia="zh-CN"/>
        </w:rPr>
        <w:t>10</w:t>
      </w:r>
      <w:r>
        <w:rPr>
          <w:rFonts w:hint="eastAsia" w:ascii="仿宋" w:hAnsi="仿宋" w:eastAsia="仿宋" w:cs="仿宋"/>
          <w:sz w:val="27"/>
          <w:szCs w:val="27"/>
          <w:highlight w:val="none"/>
        </w:rPr>
        <w:t>：</w:t>
      </w:r>
      <w:r>
        <w:rPr>
          <w:rFonts w:hint="eastAsia" w:ascii="仿宋" w:hAnsi="仿宋" w:eastAsia="仿宋" w:cs="仿宋"/>
          <w:sz w:val="27"/>
          <w:szCs w:val="27"/>
          <w:highlight w:val="none"/>
          <w:lang w:val="en-US" w:eastAsia="zh-CN"/>
        </w:rPr>
        <w:t>0</w:t>
      </w:r>
      <w:r>
        <w:rPr>
          <w:rFonts w:ascii="仿宋" w:hAnsi="仿宋" w:eastAsia="仿宋" w:cs="仿宋"/>
          <w:sz w:val="27"/>
          <w:szCs w:val="27"/>
          <w:highlight w:val="none"/>
        </w:rPr>
        <w:t>0</w:t>
      </w:r>
    </w:p>
    <w:p w14:paraId="526F9E68">
      <w:pPr>
        <w:pStyle w:val="20"/>
        <w:widowControl/>
        <w:spacing w:before="0" w:beforeAutospacing="0" w:after="0" w:afterAutospacing="0" w:line="480" w:lineRule="exact"/>
        <w:ind w:firstLine="540" w:firstLineChars="200"/>
      </w:pPr>
      <w:r>
        <w:rPr>
          <w:rFonts w:hint="eastAsia" w:ascii="仿宋" w:hAnsi="仿宋" w:eastAsia="仿宋" w:cs="仿宋"/>
          <w:sz w:val="27"/>
          <w:szCs w:val="27"/>
        </w:rPr>
        <w:t>地点：合肥市包河工业区西宁路16号（安徽交检交通发展研究中心有限责任公司四楼会议室）。</w:t>
      </w:r>
    </w:p>
    <w:p w14:paraId="1F1CED4D">
      <w:pPr>
        <w:pStyle w:val="20"/>
        <w:widowControl/>
        <w:tabs>
          <w:tab w:val="left" w:pos="6584"/>
        </w:tabs>
        <w:spacing w:before="0" w:beforeAutospacing="0" w:after="0" w:afterAutospacing="0" w:line="480" w:lineRule="exact"/>
        <w:jc w:val="both"/>
        <w:rPr>
          <w:rFonts w:hint="eastAsia" w:ascii="黑体" w:hAnsi="宋体" w:eastAsia="黑体" w:cs="黑体"/>
          <w:sz w:val="31"/>
          <w:szCs w:val="31"/>
        </w:rPr>
      </w:pPr>
      <w:r>
        <w:rPr>
          <w:rStyle w:val="26"/>
          <w:rFonts w:ascii="黑体" w:hAnsi="宋体" w:eastAsia="黑体" w:cs="黑体"/>
          <w:sz w:val="27"/>
          <w:szCs w:val="27"/>
        </w:rPr>
        <w:t>六、</w:t>
      </w:r>
      <w:r>
        <w:rPr>
          <w:rStyle w:val="26"/>
          <w:rFonts w:hint="eastAsia" w:ascii="黑体" w:hAnsi="宋体" w:eastAsia="黑体" w:cs="黑体"/>
          <w:sz w:val="27"/>
          <w:szCs w:val="27"/>
        </w:rPr>
        <w:t>发布公告的媒介</w:t>
      </w:r>
    </w:p>
    <w:p w14:paraId="33C85D91">
      <w:pPr>
        <w:pStyle w:val="20"/>
        <w:widowControl/>
        <w:spacing w:before="0" w:beforeAutospacing="0" w:after="0" w:afterAutospacing="0" w:line="480" w:lineRule="exact"/>
        <w:ind w:firstLine="540" w:firstLineChars="200"/>
        <w:rPr>
          <w:rFonts w:hint="eastAsia" w:ascii="sans-serif" w:hAnsi="sans-serif" w:eastAsia="sans-serif" w:cs="sans-serif"/>
        </w:rPr>
      </w:pPr>
      <w:r>
        <w:rPr>
          <w:rFonts w:hint="eastAsia" w:ascii="仿宋" w:hAnsi="仿宋" w:eastAsia="仿宋" w:cs="仿宋"/>
          <w:sz w:val="27"/>
          <w:szCs w:val="27"/>
        </w:rPr>
        <w:t>本次交易公告在安徽省公路工程检测中心（</w:t>
      </w:r>
      <w:r>
        <w:rPr>
          <w:rFonts w:ascii="仿宋" w:hAnsi="仿宋" w:eastAsia="仿宋" w:cs="仿宋"/>
          <w:sz w:val="27"/>
          <w:szCs w:val="27"/>
        </w:rPr>
        <w:t>http</w:t>
      </w:r>
      <w:r>
        <w:rPr>
          <w:rFonts w:hint="eastAsia" w:ascii="仿宋" w:hAnsi="仿宋" w:eastAsia="仿宋" w:cs="仿宋"/>
          <w:sz w:val="27"/>
          <w:szCs w:val="27"/>
        </w:rPr>
        <w:t>：</w:t>
      </w:r>
      <w:r>
        <w:rPr>
          <w:rFonts w:ascii="仿宋" w:hAnsi="仿宋" w:eastAsia="仿宋" w:cs="仿宋"/>
          <w:sz w:val="27"/>
          <w:szCs w:val="27"/>
        </w:rPr>
        <w:t>//www.ahgljc.com/</w:t>
      </w:r>
      <w:r>
        <w:rPr>
          <w:rFonts w:hint="eastAsia" w:ascii="仿宋" w:hAnsi="仿宋" w:eastAsia="仿宋" w:cs="仿宋"/>
          <w:sz w:val="27"/>
          <w:szCs w:val="27"/>
        </w:rPr>
        <w:t>）网上发布。</w:t>
      </w:r>
    </w:p>
    <w:p w14:paraId="28BA5F2A">
      <w:pPr>
        <w:pStyle w:val="20"/>
        <w:widowControl/>
        <w:spacing w:before="0" w:beforeAutospacing="0" w:after="0" w:afterAutospacing="0" w:line="480" w:lineRule="exact"/>
        <w:jc w:val="both"/>
        <w:rPr>
          <w:rFonts w:hint="eastAsia" w:ascii="黑体" w:hAnsi="宋体" w:eastAsia="黑体" w:cs="黑体"/>
          <w:sz w:val="31"/>
          <w:szCs w:val="31"/>
        </w:rPr>
      </w:pPr>
      <w:r>
        <w:rPr>
          <w:rStyle w:val="26"/>
          <w:rFonts w:hint="eastAsia" w:ascii="黑体" w:hAnsi="宋体" w:eastAsia="黑体" w:cs="黑体"/>
          <w:sz w:val="27"/>
          <w:szCs w:val="27"/>
        </w:rPr>
        <w:t>七</w:t>
      </w:r>
      <w:r>
        <w:rPr>
          <w:rStyle w:val="26"/>
          <w:rFonts w:ascii="黑体" w:hAnsi="宋体" w:eastAsia="黑体" w:cs="黑体"/>
          <w:sz w:val="27"/>
          <w:szCs w:val="27"/>
        </w:rPr>
        <w:t>、凡对本次采购提出询问</w:t>
      </w:r>
      <w:r>
        <w:rPr>
          <w:rStyle w:val="26"/>
          <w:rFonts w:hint="eastAsia" w:ascii="黑体" w:hAnsi="宋体" w:eastAsia="黑体" w:cs="黑体"/>
          <w:sz w:val="27"/>
          <w:szCs w:val="27"/>
        </w:rPr>
        <w:t>，</w:t>
      </w:r>
      <w:r>
        <w:rPr>
          <w:rStyle w:val="26"/>
          <w:rFonts w:ascii="黑体" w:hAnsi="宋体" w:eastAsia="黑体" w:cs="黑体"/>
          <w:sz w:val="27"/>
          <w:szCs w:val="27"/>
        </w:rPr>
        <w:t>请按以下方式联系。</w:t>
      </w:r>
    </w:p>
    <w:p w14:paraId="10E19FC8">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询价人：安徽交检交通发展研究中心有限责任公司</w:t>
      </w:r>
    </w:p>
    <w:p w14:paraId="3ABB871C">
      <w:pPr>
        <w:pStyle w:val="20"/>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地址：合肥市包河区西宁路16号</w:t>
      </w:r>
    </w:p>
    <w:p w14:paraId="473B13A4">
      <w:pPr>
        <w:pStyle w:val="20"/>
        <w:widowControl/>
        <w:spacing w:before="0" w:beforeAutospacing="0" w:after="0" w:afterAutospacing="0" w:line="480" w:lineRule="exact"/>
        <w:ind w:firstLine="540" w:firstLineChars="200"/>
        <w:rPr>
          <w:rFonts w:hint="eastAsia" w:ascii="仿宋" w:hAnsi="仿宋" w:eastAsia="仿宋" w:cs="仿宋"/>
          <w:sz w:val="27"/>
          <w:szCs w:val="27"/>
          <w:lang w:eastAsia="zh-CN"/>
        </w:rPr>
      </w:pPr>
      <w:r>
        <w:rPr>
          <w:rFonts w:hint="eastAsia" w:ascii="仿宋" w:hAnsi="仿宋" w:eastAsia="仿宋" w:cs="仿宋"/>
          <w:sz w:val="27"/>
          <w:szCs w:val="27"/>
        </w:rPr>
        <w:t>联系人：</w:t>
      </w:r>
      <w:r>
        <w:rPr>
          <w:rFonts w:hint="eastAsia" w:ascii="仿宋" w:hAnsi="仿宋" w:eastAsia="仿宋" w:cs="仿宋"/>
          <w:sz w:val="27"/>
          <w:szCs w:val="27"/>
          <w:lang w:val="en-US" w:eastAsia="zh-CN"/>
        </w:rPr>
        <w:t>陈工</w:t>
      </w:r>
    </w:p>
    <w:p w14:paraId="406D4595">
      <w:pPr>
        <w:pStyle w:val="20"/>
        <w:widowControl/>
        <w:spacing w:before="0" w:beforeAutospacing="0" w:after="0" w:afterAutospacing="0" w:line="480" w:lineRule="exact"/>
        <w:ind w:firstLine="540" w:firstLineChars="200"/>
        <w:rPr>
          <w:rFonts w:hint="default" w:ascii="仿宋" w:hAnsi="仿宋" w:eastAsia="仿宋" w:cs="仿宋"/>
          <w:sz w:val="27"/>
          <w:szCs w:val="27"/>
          <w:lang w:val="en-US" w:eastAsia="zh-CN"/>
        </w:rPr>
      </w:pPr>
      <w:r>
        <w:rPr>
          <w:rFonts w:hint="eastAsia" w:ascii="仿宋" w:hAnsi="仿宋" w:eastAsia="仿宋" w:cs="仿宋"/>
          <w:sz w:val="27"/>
          <w:szCs w:val="27"/>
        </w:rPr>
        <w:t>电话：</w:t>
      </w:r>
      <w:r>
        <w:rPr>
          <w:rFonts w:hint="eastAsia" w:ascii="仿宋" w:hAnsi="仿宋" w:eastAsia="仿宋" w:cs="仿宋"/>
          <w:sz w:val="27"/>
          <w:szCs w:val="27"/>
          <w:lang w:val="en-US" w:eastAsia="zh-CN"/>
        </w:rPr>
        <w:t>15256095497</w:t>
      </w:r>
    </w:p>
    <w:bookmarkEnd w:id="3"/>
    <w:p w14:paraId="3B133826">
      <w:pPr>
        <w:pStyle w:val="20"/>
        <w:widowControl/>
        <w:spacing w:before="0" w:beforeAutospacing="0" w:after="0" w:afterAutospacing="0" w:line="480" w:lineRule="exact"/>
        <w:jc w:val="center"/>
        <w:outlineLvl w:val="0"/>
        <w:rPr>
          <w:rFonts w:hint="eastAsia" w:ascii="宋体" w:hAnsi="宋体" w:cs="宋体"/>
          <w:b/>
          <w:bCs/>
        </w:rPr>
      </w:pPr>
      <w:r>
        <w:rPr>
          <w:rFonts w:hint="eastAsia" w:ascii="宋体" w:hAnsi="宋体" w:cs="宋体"/>
        </w:rPr>
        <w:br w:type="page"/>
      </w:r>
      <w:bookmarkStart w:id="12" w:name="_Toc6923"/>
      <w:r>
        <w:rPr>
          <w:rFonts w:hint="eastAsia" w:ascii="宋体" w:hAnsi="宋体" w:cs="宋体"/>
          <w:b/>
          <w:bCs/>
          <w:sz w:val="30"/>
          <w:szCs w:val="30"/>
        </w:rPr>
        <w:t>第一章询价供应商须知及前附表</w:t>
      </w:r>
      <w:bookmarkEnd w:id="12"/>
    </w:p>
    <w:p w14:paraId="6B5DED88">
      <w:pPr>
        <w:spacing w:line="360" w:lineRule="auto"/>
        <w:jc w:val="center"/>
        <w:rPr>
          <w:rFonts w:hint="eastAsia" w:ascii="黑体" w:hAnsi="宋体" w:eastAsia="黑体"/>
          <w:b/>
          <w:sz w:val="24"/>
        </w:rPr>
      </w:pPr>
      <w:r>
        <w:rPr>
          <w:rFonts w:hint="eastAsia" w:ascii="黑体" w:hAnsi="宋体" w:eastAsia="黑体"/>
          <w:b/>
          <w:sz w:val="24"/>
        </w:rPr>
        <w:t>询价供应商须知前附表</w:t>
      </w:r>
    </w:p>
    <w:tbl>
      <w:tblPr>
        <w:tblStyle w:val="2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48"/>
        <w:gridCol w:w="6598"/>
      </w:tblGrid>
      <w:tr w14:paraId="152E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0D6E718C">
            <w:pPr>
              <w:spacing w:line="360" w:lineRule="auto"/>
              <w:jc w:val="center"/>
              <w:rPr>
                <w:rFonts w:hint="eastAsia" w:ascii="宋体" w:hAnsi="宋体" w:cs="宋体"/>
                <w:sz w:val="24"/>
              </w:rPr>
            </w:pPr>
            <w:r>
              <w:rPr>
                <w:rFonts w:hint="eastAsia" w:ascii="宋体" w:hAnsi="宋体" w:cs="宋体"/>
                <w:sz w:val="24"/>
              </w:rPr>
              <w:t>序号</w:t>
            </w:r>
          </w:p>
        </w:tc>
        <w:tc>
          <w:tcPr>
            <w:tcW w:w="1176" w:type="pct"/>
            <w:tcBorders>
              <w:top w:val="single" w:color="auto" w:sz="4" w:space="0"/>
              <w:left w:val="single" w:color="auto" w:sz="4" w:space="0"/>
              <w:bottom w:val="single" w:color="auto" w:sz="4" w:space="0"/>
              <w:right w:val="single" w:color="auto" w:sz="4" w:space="0"/>
            </w:tcBorders>
            <w:vAlign w:val="center"/>
          </w:tcPr>
          <w:p w14:paraId="6106B424">
            <w:pPr>
              <w:spacing w:line="360" w:lineRule="auto"/>
              <w:jc w:val="center"/>
              <w:rPr>
                <w:rFonts w:hint="eastAsia" w:ascii="宋体" w:hAnsi="宋体" w:cs="宋体"/>
                <w:sz w:val="24"/>
              </w:rPr>
            </w:pPr>
            <w:r>
              <w:rPr>
                <w:rFonts w:hint="eastAsia" w:ascii="宋体" w:hAnsi="宋体" w:cs="宋体"/>
                <w:sz w:val="24"/>
              </w:rPr>
              <w:t>名称</w:t>
            </w:r>
          </w:p>
        </w:tc>
        <w:tc>
          <w:tcPr>
            <w:tcW w:w="3450" w:type="pct"/>
            <w:tcBorders>
              <w:top w:val="single" w:color="auto" w:sz="4" w:space="0"/>
              <w:left w:val="single" w:color="auto" w:sz="4" w:space="0"/>
              <w:bottom w:val="single" w:color="auto" w:sz="4" w:space="0"/>
              <w:right w:val="single" w:color="auto" w:sz="4" w:space="0"/>
            </w:tcBorders>
            <w:vAlign w:val="center"/>
          </w:tcPr>
          <w:p w14:paraId="5939B054">
            <w:pPr>
              <w:spacing w:line="360" w:lineRule="auto"/>
              <w:jc w:val="center"/>
              <w:rPr>
                <w:rFonts w:hint="eastAsia" w:ascii="宋体" w:hAnsi="宋体" w:cs="宋体"/>
                <w:sz w:val="24"/>
              </w:rPr>
            </w:pPr>
            <w:r>
              <w:rPr>
                <w:rFonts w:hint="eastAsia" w:ascii="宋体" w:hAnsi="宋体" w:cs="宋体"/>
                <w:sz w:val="24"/>
              </w:rPr>
              <w:t>内容</w:t>
            </w:r>
          </w:p>
        </w:tc>
      </w:tr>
      <w:tr w14:paraId="5197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30EE00D1">
            <w:pPr>
              <w:pStyle w:val="42"/>
              <w:widowControl w:val="0"/>
              <w:pBdr>
                <w:left w:val="none" w:color="auto" w:sz="0" w:space="0"/>
                <w:bottom w:val="none" w:color="auto" w:sz="0" w:space="0"/>
                <w:right w:val="none" w:color="auto" w:sz="0" w:space="0"/>
              </w:pBdr>
              <w:spacing w:before="0" w:beforeAutospacing="0" w:after="0" w:afterAutospacing="0" w:line="360" w:lineRule="auto"/>
              <w:rPr>
                <w:rFonts w:hint="eastAsia" w:ascii="宋体" w:eastAsia="宋体" w:cs="宋体"/>
                <w:kern w:val="2"/>
              </w:rPr>
            </w:pPr>
            <w:r>
              <w:rPr>
                <w:rFonts w:hint="eastAsia" w:ascii="宋体" w:eastAsia="宋体" w:cs="宋体"/>
                <w:kern w:val="2"/>
              </w:rPr>
              <w:t>1</w:t>
            </w:r>
          </w:p>
        </w:tc>
        <w:tc>
          <w:tcPr>
            <w:tcW w:w="1176" w:type="pct"/>
            <w:tcBorders>
              <w:top w:val="single" w:color="auto" w:sz="4" w:space="0"/>
              <w:left w:val="single" w:color="auto" w:sz="4" w:space="0"/>
              <w:bottom w:val="single" w:color="auto" w:sz="4" w:space="0"/>
              <w:right w:val="single" w:color="auto" w:sz="4" w:space="0"/>
            </w:tcBorders>
            <w:vAlign w:val="center"/>
          </w:tcPr>
          <w:p w14:paraId="35A2167C">
            <w:pPr>
              <w:spacing w:line="360" w:lineRule="auto"/>
              <w:jc w:val="center"/>
              <w:rPr>
                <w:rFonts w:hint="eastAsia" w:ascii="宋体" w:hAnsi="宋体" w:cs="宋体"/>
                <w:sz w:val="24"/>
              </w:rPr>
            </w:pPr>
            <w:r>
              <w:rPr>
                <w:rFonts w:hint="eastAsia" w:ascii="宋体" w:hAnsi="宋体" w:cs="宋体"/>
                <w:sz w:val="24"/>
              </w:rPr>
              <w:t>项目名称</w:t>
            </w:r>
          </w:p>
        </w:tc>
        <w:tc>
          <w:tcPr>
            <w:tcW w:w="3450" w:type="pct"/>
            <w:tcBorders>
              <w:top w:val="single" w:color="auto" w:sz="4" w:space="0"/>
              <w:left w:val="single" w:color="auto" w:sz="4" w:space="0"/>
              <w:bottom w:val="single" w:color="auto" w:sz="4" w:space="0"/>
              <w:right w:val="single" w:color="auto" w:sz="4" w:space="0"/>
            </w:tcBorders>
            <w:vAlign w:val="center"/>
          </w:tcPr>
          <w:p w14:paraId="2645749B">
            <w:pPr>
              <w:spacing w:line="360" w:lineRule="auto"/>
              <w:rPr>
                <w:rFonts w:hint="eastAsia" w:ascii="宋体" w:hAnsi="宋体" w:cs="宋体"/>
                <w:sz w:val="24"/>
              </w:rPr>
            </w:pPr>
            <w:r>
              <w:rPr>
                <w:rFonts w:hint="eastAsia" w:ascii="宋体" w:hAnsi="宋体" w:cs="宋体"/>
                <w:sz w:val="24"/>
              </w:rPr>
              <w:t>公路路况车辆改装公告申报及后续改装服务采购</w:t>
            </w:r>
          </w:p>
        </w:tc>
      </w:tr>
      <w:tr w14:paraId="0E07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2E6C3CD8">
            <w:pPr>
              <w:spacing w:line="360" w:lineRule="auto"/>
              <w:jc w:val="center"/>
              <w:rPr>
                <w:rFonts w:hint="eastAsia" w:ascii="宋体" w:hAnsi="宋体" w:cs="宋体"/>
                <w:sz w:val="24"/>
              </w:rPr>
            </w:pPr>
            <w:r>
              <w:rPr>
                <w:rFonts w:hint="eastAsia" w:ascii="宋体" w:hAnsi="宋体" w:cs="宋体"/>
                <w:sz w:val="24"/>
              </w:rPr>
              <w:t>2</w:t>
            </w:r>
          </w:p>
        </w:tc>
        <w:tc>
          <w:tcPr>
            <w:tcW w:w="1176" w:type="pct"/>
            <w:tcBorders>
              <w:top w:val="single" w:color="auto" w:sz="4" w:space="0"/>
              <w:left w:val="single" w:color="auto" w:sz="4" w:space="0"/>
              <w:bottom w:val="single" w:color="auto" w:sz="4" w:space="0"/>
              <w:right w:val="single" w:color="auto" w:sz="4" w:space="0"/>
            </w:tcBorders>
            <w:vAlign w:val="center"/>
          </w:tcPr>
          <w:p w14:paraId="0966F8EC">
            <w:pPr>
              <w:spacing w:line="360" w:lineRule="auto"/>
              <w:jc w:val="center"/>
              <w:rPr>
                <w:rFonts w:hint="eastAsia" w:ascii="宋体" w:hAnsi="宋体" w:cs="宋体"/>
                <w:sz w:val="24"/>
              </w:rPr>
            </w:pPr>
            <w:r>
              <w:rPr>
                <w:rFonts w:hint="eastAsia" w:ascii="宋体" w:hAnsi="宋体" w:cs="宋体"/>
                <w:sz w:val="24"/>
              </w:rPr>
              <w:t>询价人名称</w:t>
            </w:r>
          </w:p>
        </w:tc>
        <w:tc>
          <w:tcPr>
            <w:tcW w:w="3450" w:type="pct"/>
            <w:tcBorders>
              <w:top w:val="single" w:color="auto" w:sz="4" w:space="0"/>
              <w:left w:val="single" w:color="auto" w:sz="4" w:space="0"/>
              <w:bottom w:val="single" w:color="auto" w:sz="4" w:space="0"/>
              <w:right w:val="single" w:color="auto" w:sz="4" w:space="0"/>
            </w:tcBorders>
            <w:vAlign w:val="center"/>
          </w:tcPr>
          <w:p w14:paraId="4E683007">
            <w:pPr>
              <w:spacing w:line="360" w:lineRule="auto"/>
              <w:rPr>
                <w:rFonts w:hint="eastAsia" w:ascii="宋体" w:hAnsi="宋体" w:cs="宋体"/>
                <w:sz w:val="24"/>
              </w:rPr>
            </w:pPr>
            <w:r>
              <w:rPr>
                <w:rFonts w:hint="eastAsia" w:ascii="宋体" w:hAnsi="宋体" w:cs="宋体"/>
                <w:kern w:val="0"/>
                <w:sz w:val="24"/>
              </w:rPr>
              <w:t>安徽交检交通发展研究中心有限责任公司</w:t>
            </w:r>
          </w:p>
        </w:tc>
      </w:tr>
      <w:tr w14:paraId="671B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4C5B6A52">
            <w:pPr>
              <w:spacing w:line="360" w:lineRule="auto"/>
              <w:jc w:val="center"/>
              <w:rPr>
                <w:rFonts w:hint="eastAsia" w:ascii="宋体" w:hAnsi="宋体" w:cs="宋体"/>
                <w:sz w:val="24"/>
              </w:rPr>
            </w:pPr>
            <w:r>
              <w:rPr>
                <w:rFonts w:hint="eastAsia" w:ascii="宋体" w:hAnsi="宋体" w:cs="宋体"/>
                <w:sz w:val="24"/>
              </w:rPr>
              <w:t>3</w:t>
            </w:r>
          </w:p>
        </w:tc>
        <w:tc>
          <w:tcPr>
            <w:tcW w:w="1176" w:type="pct"/>
            <w:tcBorders>
              <w:top w:val="single" w:color="auto" w:sz="4" w:space="0"/>
              <w:left w:val="single" w:color="auto" w:sz="4" w:space="0"/>
              <w:bottom w:val="single" w:color="auto" w:sz="4" w:space="0"/>
              <w:right w:val="single" w:color="auto" w:sz="4" w:space="0"/>
            </w:tcBorders>
            <w:vAlign w:val="center"/>
          </w:tcPr>
          <w:p w14:paraId="6A0ABC1B">
            <w:pPr>
              <w:spacing w:line="360" w:lineRule="auto"/>
              <w:ind w:left="2400" w:hanging="2400" w:hangingChars="1000"/>
              <w:jc w:val="center"/>
              <w:rPr>
                <w:rFonts w:hint="eastAsia" w:ascii="宋体" w:hAnsi="宋体" w:cs="宋体"/>
                <w:bCs/>
                <w:sz w:val="24"/>
              </w:rPr>
            </w:pPr>
            <w:r>
              <w:rPr>
                <w:rFonts w:hint="eastAsia" w:ascii="宋体" w:hAnsi="宋体" w:cs="宋体"/>
                <w:bCs/>
                <w:sz w:val="24"/>
              </w:rPr>
              <w:t>有效期</w:t>
            </w:r>
          </w:p>
        </w:tc>
        <w:tc>
          <w:tcPr>
            <w:tcW w:w="3450" w:type="pct"/>
            <w:tcBorders>
              <w:top w:val="single" w:color="auto" w:sz="4" w:space="0"/>
              <w:left w:val="single" w:color="auto" w:sz="4" w:space="0"/>
              <w:bottom w:val="single" w:color="auto" w:sz="4" w:space="0"/>
              <w:right w:val="single" w:color="auto" w:sz="4" w:space="0"/>
            </w:tcBorders>
            <w:vAlign w:val="center"/>
          </w:tcPr>
          <w:p w14:paraId="38DF3C5D">
            <w:pPr>
              <w:spacing w:line="360" w:lineRule="auto"/>
              <w:ind w:left="2400" w:hanging="2400" w:hangingChars="1000"/>
              <w:rPr>
                <w:rFonts w:hint="eastAsia" w:ascii="宋体" w:hAnsi="宋体" w:cs="宋体"/>
                <w:bCs/>
                <w:sz w:val="24"/>
              </w:rPr>
            </w:pPr>
            <w:r>
              <w:rPr>
                <w:rFonts w:hint="eastAsia" w:ascii="宋体" w:hAnsi="宋体" w:cs="宋体"/>
                <w:bCs/>
                <w:sz w:val="24"/>
              </w:rPr>
              <w:t>询价之日起90个日历日。</w:t>
            </w:r>
          </w:p>
        </w:tc>
      </w:tr>
      <w:tr w14:paraId="4266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26E93C94">
            <w:pPr>
              <w:spacing w:line="360" w:lineRule="auto"/>
              <w:jc w:val="center"/>
              <w:rPr>
                <w:rFonts w:hint="eastAsia" w:ascii="宋体" w:hAnsi="宋体" w:cs="宋体"/>
                <w:sz w:val="24"/>
              </w:rPr>
            </w:pPr>
            <w:bookmarkStart w:id="13" w:name="OLE_LINK24"/>
            <w:r>
              <w:rPr>
                <w:rFonts w:hint="eastAsia" w:ascii="宋体" w:hAnsi="宋体" w:cs="宋体"/>
                <w:sz w:val="24"/>
              </w:rPr>
              <w:t>4</w:t>
            </w:r>
            <w:bookmarkEnd w:id="13"/>
          </w:p>
        </w:tc>
        <w:tc>
          <w:tcPr>
            <w:tcW w:w="1176" w:type="pct"/>
            <w:tcBorders>
              <w:top w:val="single" w:color="auto" w:sz="4" w:space="0"/>
              <w:left w:val="single" w:color="auto" w:sz="4" w:space="0"/>
              <w:bottom w:val="single" w:color="auto" w:sz="4" w:space="0"/>
              <w:right w:val="single" w:color="auto" w:sz="4" w:space="0"/>
            </w:tcBorders>
            <w:vAlign w:val="center"/>
          </w:tcPr>
          <w:p w14:paraId="5CC5B0D6">
            <w:pPr>
              <w:spacing w:line="360" w:lineRule="auto"/>
              <w:jc w:val="center"/>
              <w:rPr>
                <w:rFonts w:hint="eastAsia" w:ascii="宋体" w:hAnsi="宋体" w:cs="宋体"/>
                <w:sz w:val="24"/>
              </w:rPr>
            </w:pPr>
            <w:r>
              <w:rPr>
                <w:rFonts w:hint="eastAsia" w:ascii="宋体" w:hAnsi="宋体" w:cs="宋体"/>
                <w:sz w:val="24"/>
              </w:rPr>
              <w:t>疑问递交截止时间及答疑发放时间</w:t>
            </w:r>
          </w:p>
        </w:tc>
        <w:tc>
          <w:tcPr>
            <w:tcW w:w="3450" w:type="pct"/>
            <w:tcBorders>
              <w:top w:val="single" w:color="auto" w:sz="4" w:space="0"/>
              <w:left w:val="single" w:color="auto" w:sz="4" w:space="0"/>
              <w:bottom w:val="single" w:color="auto" w:sz="4" w:space="0"/>
              <w:right w:val="single" w:color="auto" w:sz="4" w:space="0"/>
            </w:tcBorders>
            <w:vAlign w:val="center"/>
          </w:tcPr>
          <w:p w14:paraId="271DEEFD">
            <w:pPr>
              <w:spacing w:line="360" w:lineRule="auto"/>
              <w:rPr>
                <w:rFonts w:hint="eastAsia" w:ascii="宋体" w:hAnsi="宋体" w:cs="宋体"/>
                <w:bCs/>
                <w:sz w:val="24"/>
              </w:rPr>
            </w:pPr>
            <w:r>
              <w:rPr>
                <w:rFonts w:hint="eastAsia" w:ascii="宋体" w:hAnsi="宋体" w:cs="宋体"/>
                <w:sz w:val="24"/>
              </w:rPr>
              <w:t>供应商如对询价文件提出质疑，请在开标截止时间前3日以书面形式提出，逾期的质疑要求，概不受理，开选后不得对询价文件的内容或条款提出质疑。</w:t>
            </w:r>
          </w:p>
        </w:tc>
      </w:tr>
      <w:tr w14:paraId="54FD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65CB178B">
            <w:pPr>
              <w:spacing w:line="360" w:lineRule="auto"/>
              <w:jc w:val="center"/>
              <w:rPr>
                <w:rFonts w:hint="eastAsia" w:ascii="宋体" w:hAnsi="宋体" w:cs="宋体"/>
                <w:sz w:val="24"/>
              </w:rPr>
            </w:pPr>
            <w:r>
              <w:rPr>
                <w:rFonts w:hint="eastAsia" w:ascii="宋体" w:hAnsi="宋体" w:cs="宋体"/>
                <w:sz w:val="24"/>
              </w:rPr>
              <w:t>5</w:t>
            </w:r>
          </w:p>
        </w:tc>
        <w:tc>
          <w:tcPr>
            <w:tcW w:w="1176" w:type="pct"/>
            <w:tcBorders>
              <w:top w:val="single" w:color="auto" w:sz="4" w:space="0"/>
              <w:left w:val="single" w:color="auto" w:sz="4" w:space="0"/>
              <w:bottom w:val="single" w:color="auto" w:sz="4" w:space="0"/>
              <w:right w:val="single" w:color="auto" w:sz="4" w:space="0"/>
            </w:tcBorders>
            <w:vAlign w:val="center"/>
          </w:tcPr>
          <w:p w14:paraId="3B531207">
            <w:pPr>
              <w:spacing w:line="360" w:lineRule="auto"/>
              <w:jc w:val="center"/>
              <w:rPr>
                <w:rFonts w:hint="eastAsia" w:ascii="宋体" w:hAnsi="宋体" w:cs="宋体"/>
                <w:bCs/>
                <w:sz w:val="24"/>
              </w:rPr>
            </w:pPr>
            <w:r>
              <w:rPr>
                <w:rFonts w:hint="eastAsia" w:ascii="宋体" w:hAnsi="宋体" w:cs="宋体"/>
                <w:bCs/>
                <w:sz w:val="24"/>
              </w:rPr>
              <w:t>询价文件数量及封装要求</w:t>
            </w:r>
          </w:p>
        </w:tc>
        <w:tc>
          <w:tcPr>
            <w:tcW w:w="3450" w:type="pct"/>
            <w:tcBorders>
              <w:top w:val="single" w:color="auto" w:sz="4" w:space="0"/>
              <w:left w:val="single" w:color="auto" w:sz="4" w:space="0"/>
              <w:bottom w:val="single" w:color="auto" w:sz="4" w:space="0"/>
              <w:right w:val="single" w:color="auto" w:sz="4" w:space="0"/>
            </w:tcBorders>
            <w:vAlign w:val="center"/>
          </w:tcPr>
          <w:p w14:paraId="7CE76AE9">
            <w:pPr>
              <w:spacing w:line="360" w:lineRule="auto"/>
              <w:rPr>
                <w:rFonts w:hint="eastAsia" w:ascii="宋体" w:hAnsi="宋体" w:cs="宋体"/>
                <w:bCs/>
                <w:sz w:val="24"/>
              </w:rPr>
            </w:pPr>
            <w:r>
              <w:rPr>
                <w:rFonts w:hint="eastAsia" w:ascii="宋体" w:hAnsi="宋体" w:cs="宋体"/>
                <w:bCs/>
                <w:sz w:val="24"/>
              </w:rPr>
              <w:t>1套正本，2套副本，</w:t>
            </w:r>
            <w:r>
              <w:rPr>
                <w:rFonts w:hint="eastAsia" w:ascii="宋体" w:hAnsi="宋体" w:cs="宋体"/>
                <w:sz w:val="24"/>
              </w:rPr>
              <w:t>胶装成册。正本和副本可封装在一密封袋内。封皮上写明项目名称、供应商名称，并注明“开标前不得开封”字样。</w:t>
            </w:r>
          </w:p>
        </w:tc>
      </w:tr>
      <w:tr w14:paraId="18E6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168DF1E1">
            <w:pPr>
              <w:pStyle w:val="42"/>
              <w:widowControl w:val="0"/>
              <w:pBdr>
                <w:left w:val="none" w:color="auto" w:sz="0" w:space="0"/>
                <w:bottom w:val="none" w:color="auto" w:sz="0" w:space="0"/>
                <w:right w:val="none" w:color="auto" w:sz="0" w:space="0"/>
              </w:pBdr>
              <w:spacing w:before="0" w:beforeAutospacing="0" w:after="0" w:afterAutospacing="0" w:line="360" w:lineRule="auto"/>
              <w:rPr>
                <w:rFonts w:hint="eastAsia" w:ascii="宋体" w:eastAsia="宋体" w:cs="宋体"/>
                <w:kern w:val="2"/>
              </w:rPr>
            </w:pPr>
            <w:r>
              <w:rPr>
                <w:rFonts w:hint="eastAsia" w:ascii="宋体" w:eastAsia="宋体" w:cs="宋体"/>
                <w:kern w:val="2"/>
              </w:rPr>
              <w:t>6</w:t>
            </w:r>
          </w:p>
        </w:tc>
        <w:tc>
          <w:tcPr>
            <w:tcW w:w="1176" w:type="pct"/>
            <w:tcBorders>
              <w:top w:val="single" w:color="auto" w:sz="4" w:space="0"/>
              <w:left w:val="single" w:color="auto" w:sz="4" w:space="0"/>
              <w:bottom w:val="single" w:color="auto" w:sz="4" w:space="0"/>
              <w:right w:val="single" w:color="auto" w:sz="4" w:space="0"/>
            </w:tcBorders>
            <w:vAlign w:val="center"/>
          </w:tcPr>
          <w:p w14:paraId="5E84FE95">
            <w:pPr>
              <w:spacing w:line="360" w:lineRule="auto"/>
              <w:jc w:val="center"/>
              <w:rPr>
                <w:rFonts w:hint="eastAsia" w:ascii="宋体" w:hAnsi="宋体" w:cs="宋体"/>
                <w:bCs/>
                <w:sz w:val="24"/>
                <w:highlight w:val="none"/>
              </w:rPr>
            </w:pPr>
            <w:r>
              <w:rPr>
                <w:rFonts w:hint="eastAsia" w:ascii="宋体" w:hAnsi="宋体" w:cs="宋体"/>
                <w:bCs/>
                <w:sz w:val="24"/>
                <w:highlight w:val="none"/>
              </w:rPr>
              <w:t>询价文件递交时间</w:t>
            </w:r>
          </w:p>
        </w:tc>
        <w:tc>
          <w:tcPr>
            <w:tcW w:w="3450" w:type="pct"/>
            <w:tcBorders>
              <w:top w:val="single" w:color="auto" w:sz="4" w:space="0"/>
              <w:left w:val="single" w:color="auto" w:sz="4" w:space="0"/>
              <w:bottom w:val="single" w:color="auto" w:sz="4" w:space="0"/>
              <w:right w:val="single" w:color="auto" w:sz="4" w:space="0"/>
            </w:tcBorders>
            <w:vAlign w:val="center"/>
          </w:tcPr>
          <w:p w14:paraId="2F277CA9">
            <w:pPr>
              <w:spacing w:line="360" w:lineRule="auto"/>
              <w:rPr>
                <w:rFonts w:hint="eastAsia" w:ascii="宋体" w:hAnsi="宋体" w:cs="宋体"/>
                <w:bCs/>
                <w:sz w:val="24"/>
                <w:highlight w:val="none"/>
              </w:rPr>
            </w:pPr>
            <w:r>
              <w:rPr>
                <w:rFonts w:hint="eastAsia" w:ascii="宋体" w:hAnsi="宋体" w:cs="仿宋"/>
                <w:sz w:val="24"/>
                <w:highlight w:val="none"/>
              </w:rPr>
              <w:t>2026年1月</w:t>
            </w:r>
            <w:r>
              <w:rPr>
                <w:rFonts w:hint="eastAsia" w:ascii="宋体" w:hAnsi="宋体" w:cs="仿宋"/>
                <w:sz w:val="24"/>
                <w:highlight w:val="none"/>
                <w:lang w:val="en-US" w:eastAsia="zh-CN"/>
              </w:rPr>
              <w:t>22</w:t>
            </w:r>
            <w:r>
              <w:rPr>
                <w:rFonts w:hint="eastAsia" w:ascii="宋体" w:hAnsi="宋体" w:cs="仿宋"/>
                <w:sz w:val="24"/>
                <w:highlight w:val="none"/>
              </w:rPr>
              <w:t>日</w:t>
            </w:r>
            <w:r>
              <w:rPr>
                <w:rFonts w:hint="eastAsia" w:ascii="宋体" w:hAnsi="宋体" w:cs="仿宋"/>
                <w:sz w:val="24"/>
                <w:highlight w:val="none"/>
                <w:lang w:val="en-US" w:eastAsia="zh-CN"/>
              </w:rPr>
              <w:t>09</w:t>
            </w:r>
            <w:r>
              <w:rPr>
                <w:rFonts w:hint="eastAsia" w:ascii="宋体" w:hAnsi="宋体" w:cs="仿宋"/>
                <w:sz w:val="24"/>
                <w:highlight w:val="none"/>
              </w:rPr>
              <w:t>：30</w:t>
            </w:r>
            <w:r>
              <w:rPr>
                <w:rFonts w:hint="eastAsia" w:ascii="宋体" w:hAnsi="宋体" w:cs="宋体"/>
                <w:bCs/>
                <w:sz w:val="24"/>
                <w:highlight w:val="none"/>
              </w:rPr>
              <w:t>前（北京时间），现场递交或邮寄。</w:t>
            </w:r>
          </w:p>
        </w:tc>
      </w:tr>
      <w:tr w14:paraId="16F2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525CADE9">
            <w:pPr>
              <w:spacing w:line="360" w:lineRule="auto"/>
              <w:jc w:val="center"/>
              <w:rPr>
                <w:rFonts w:hint="eastAsia" w:ascii="宋体" w:hAnsi="宋体" w:cs="宋体"/>
                <w:sz w:val="24"/>
              </w:rPr>
            </w:pPr>
            <w:r>
              <w:rPr>
                <w:rFonts w:hint="eastAsia" w:ascii="宋体" w:hAnsi="宋体" w:cs="宋体"/>
                <w:sz w:val="24"/>
              </w:rPr>
              <w:t>7</w:t>
            </w:r>
          </w:p>
        </w:tc>
        <w:tc>
          <w:tcPr>
            <w:tcW w:w="1176" w:type="pct"/>
            <w:tcBorders>
              <w:top w:val="single" w:color="auto" w:sz="4" w:space="0"/>
              <w:left w:val="single" w:color="auto" w:sz="4" w:space="0"/>
              <w:bottom w:val="single" w:color="auto" w:sz="4" w:space="0"/>
              <w:right w:val="single" w:color="auto" w:sz="4" w:space="0"/>
            </w:tcBorders>
            <w:vAlign w:val="center"/>
          </w:tcPr>
          <w:p w14:paraId="488896F7">
            <w:pPr>
              <w:spacing w:line="360" w:lineRule="auto"/>
              <w:jc w:val="center"/>
              <w:rPr>
                <w:rFonts w:hint="eastAsia" w:ascii="宋体" w:hAnsi="宋体" w:cs="宋体"/>
                <w:bCs/>
                <w:sz w:val="24"/>
                <w:highlight w:val="none"/>
              </w:rPr>
            </w:pPr>
            <w:r>
              <w:rPr>
                <w:rFonts w:hint="eastAsia" w:ascii="宋体" w:hAnsi="宋体" w:cs="宋体"/>
                <w:bCs/>
                <w:sz w:val="24"/>
                <w:highlight w:val="none"/>
              </w:rPr>
              <w:t>开标时间</w:t>
            </w:r>
          </w:p>
        </w:tc>
        <w:tc>
          <w:tcPr>
            <w:tcW w:w="3450" w:type="pct"/>
            <w:tcBorders>
              <w:top w:val="single" w:color="auto" w:sz="4" w:space="0"/>
              <w:left w:val="single" w:color="auto" w:sz="4" w:space="0"/>
              <w:bottom w:val="single" w:color="auto" w:sz="4" w:space="0"/>
              <w:right w:val="single" w:color="auto" w:sz="4" w:space="0"/>
            </w:tcBorders>
            <w:vAlign w:val="center"/>
          </w:tcPr>
          <w:p w14:paraId="3B145AF8">
            <w:pPr>
              <w:spacing w:line="360" w:lineRule="auto"/>
              <w:rPr>
                <w:rFonts w:hint="eastAsia" w:ascii="宋体" w:hAnsi="宋体" w:cs="宋体"/>
                <w:sz w:val="24"/>
                <w:highlight w:val="none"/>
              </w:rPr>
            </w:pPr>
            <w:r>
              <w:rPr>
                <w:rFonts w:hint="eastAsia" w:ascii="宋体" w:hAnsi="宋体" w:cs="仿宋"/>
                <w:sz w:val="24"/>
                <w:highlight w:val="none"/>
              </w:rPr>
              <w:t>2026年1月</w:t>
            </w:r>
            <w:r>
              <w:rPr>
                <w:rFonts w:hint="eastAsia" w:ascii="宋体" w:hAnsi="宋体" w:cs="仿宋"/>
                <w:sz w:val="24"/>
                <w:highlight w:val="none"/>
                <w:lang w:val="en-US" w:eastAsia="zh-CN"/>
              </w:rPr>
              <w:t>22</w:t>
            </w:r>
            <w:r>
              <w:rPr>
                <w:rFonts w:hint="eastAsia" w:ascii="宋体" w:hAnsi="宋体" w:cs="仿宋"/>
                <w:sz w:val="24"/>
                <w:highlight w:val="none"/>
              </w:rPr>
              <w:t>日</w:t>
            </w:r>
            <w:r>
              <w:rPr>
                <w:rFonts w:hint="eastAsia" w:ascii="宋体" w:hAnsi="宋体" w:cs="仿宋"/>
                <w:sz w:val="24"/>
                <w:highlight w:val="none"/>
                <w:lang w:val="en-US" w:eastAsia="zh-CN"/>
              </w:rPr>
              <w:t>10</w:t>
            </w:r>
            <w:r>
              <w:rPr>
                <w:rFonts w:hint="eastAsia" w:ascii="宋体" w:hAnsi="宋体" w:cs="仿宋"/>
                <w:sz w:val="24"/>
                <w:highlight w:val="none"/>
              </w:rPr>
              <w:t>：</w:t>
            </w:r>
            <w:r>
              <w:rPr>
                <w:rFonts w:hint="eastAsia" w:ascii="宋体" w:hAnsi="宋体" w:cs="仿宋"/>
                <w:sz w:val="24"/>
                <w:highlight w:val="none"/>
                <w:lang w:val="en-US" w:eastAsia="zh-CN"/>
              </w:rPr>
              <w:t>0</w:t>
            </w:r>
            <w:r>
              <w:rPr>
                <w:rFonts w:hint="eastAsia" w:ascii="宋体" w:hAnsi="宋体" w:cs="仿宋"/>
                <w:sz w:val="24"/>
                <w:highlight w:val="none"/>
              </w:rPr>
              <w:t>0</w:t>
            </w:r>
            <w:r>
              <w:rPr>
                <w:rFonts w:hint="eastAsia" w:ascii="宋体" w:hAnsi="宋体" w:cs="宋体"/>
                <w:bCs/>
                <w:sz w:val="24"/>
                <w:highlight w:val="none"/>
              </w:rPr>
              <w:t>（北京时间）</w:t>
            </w:r>
          </w:p>
        </w:tc>
      </w:tr>
      <w:tr w14:paraId="0E7D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A25ED61">
            <w:pPr>
              <w:spacing w:line="360" w:lineRule="auto"/>
              <w:jc w:val="center"/>
              <w:rPr>
                <w:rFonts w:hint="eastAsia" w:ascii="宋体" w:hAnsi="宋体" w:cs="宋体"/>
                <w:sz w:val="24"/>
              </w:rPr>
            </w:pPr>
            <w:r>
              <w:rPr>
                <w:rFonts w:hint="eastAsia" w:ascii="宋体" w:hAnsi="宋体" w:cs="宋体"/>
                <w:sz w:val="24"/>
              </w:rPr>
              <w:t>8</w:t>
            </w:r>
          </w:p>
        </w:tc>
        <w:tc>
          <w:tcPr>
            <w:tcW w:w="1176" w:type="pct"/>
            <w:tcBorders>
              <w:top w:val="single" w:color="auto" w:sz="4" w:space="0"/>
              <w:left w:val="single" w:color="auto" w:sz="4" w:space="0"/>
              <w:bottom w:val="single" w:color="auto" w:sz="4" w:space="0"/>
              <w:right w:val="single" w:color="auto" w:sz="4" w:space="0"/>
            </w:tcBorders>
            <w:vAlign w:val="center"/>
          </w:tcPr>
          <w:p w14:paraId="1C1093D5">
            <w:pPr>
              <w:spacing w:line="360" w:lineRule="auto"/>
              <w:jc w:val="center"/>
              <w:rPr>
                <w:rFonts w:hint="eastAsia" w:ascii="宋体" w:hAnsi="宋体" w:cs="宋体"/>
                <w:bCs/>
                <w:sz w:val="24"/>
              </w:rPr>
            </w:pPr>
            <w:r>
              <w:rPr>
                <w:rFonts w:hint="eastAsia" w:ascii="宋体" w:hAnsi="宋体" w:cs="宋体"/>
                <w:bCs/>
                <w:sz w:val="24"/>
              </w:rPr>
              <w:t>开标地点</w:t>
            </w:r>
          </w:p>
        </w:tc>
        <w:tc>
          <w:tcPr>
            <w:tcW w:w="3450" w:type="pct"/>
            <w:tcBorders>
              <w:top w:val="single" w:color="auto" w:sz="4" w:space="0"/>
              <w:left w:val="single" w:color="auto" w:sz="4" w:space="0"/>
              <w:bottom w:val="single" w:color="auto" w:sz="4" w:space="0"/>
              <w:right w:val="single" w:color="auto" w:sz="4" w:space="0"/>
            </w:tcBorders>
            <w:vAlign w:val="center"/>
          </w:tcPr>
          <w:p w14:paraId="430413F1">
            <w:pPr>
              <w:spacing w:line="360" w:lineRule="auto"/>
              <w:rPr>
                <w:rFonts w:hint="eastAsia" w:ascii="宋体" w:hAnsi="宋体" w:cs="宋体"/>
                <w:bCs/>
                <w:sz w:val="24"/>
              </w:rPr>
            </w:pPr>
            <w:r>
              <w:rPr>
                <w:rFonts w:hint="eastAsia" w:ascii="宋体" w:hAnsi="宋体" w:cs="宋体"/>
                <w:bCs/>
                <w:sz w:val="24"/>
              </w:rPr>
              <w:t>合肥市包河工业区西宁路16号（安徽交检交通发展研究中心有限责任公司四楼会议室）。</w:t>
            </w:r>
          </w:p>
        </w:tc>
      </w:tr>
      <w:tr w14:paraId="1D55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0D6A9845">
            <w:pPr>
              <w:spacing w:line="360" w:lineRule="auto"/>
              <w:jc w:val="center"/>
              <w:rPr>
                <w:rFonts w:hint="eastAsia" w:ascii="宋体" w:hAnsi="宋体" w:cs="宋体"/>
                <w:sz w:val="24"/>
              </w:rPr>
            </w:pPr>
            <w:r>
              <w:rPr>
                <w:rFonts w:hint="eastAsia" w:ascii="宋体" w:hAnsi="宋体" w:cs="宋体"/>
                <w:sz w:val="24"/>
              </w:rPr>
              <w:t>9</w:t>
            </w:r>
          </w:p>
        </w:tc>
        <w:tc>
          <w:tcPr>
            <w:tcW w:w="1176" w:type="pct"/>
            <w:tcBorders>
              <w:top w:val="single" w:color="auto" w:sz="4" w:space="0"/>
              <w:left w:val="single" w:color="auto" w:sz="4" w:space="0"/>
              <w:bottom w:val="single" w:color="auto" w:sz="4" w:space="0"/>
              <w:right w:val="single" w:color="auto" w:sz="4" w:space="0"/>
            </w:tcBorders>
            <w:vAlign w:val="center"/>
          </w:tcPr>
          <w:p w14:paraId="4D6056FF">
            <w:pPr>
              <w:spacing w:line="360" w:lineRule="auto"/>
              <w:jc w:val="center"/>
              <w:rPr>
                <w:rFonts w:hint="eastAsia" w:ascii="宋体" w:hAnsi="宋体" w:cs="宋体"/>
                <w:bCs/>
                <w:sz w:val="24"/>
              </w:rPr>
            </w:pPr>
            <w:r>
              <w:rPr>
                <w:rFonts w:hint="eastAsia" w:ascii="宋体" w:hAnsi="宋体" w:cs="宋体"/>
                <w:bCs/>
                <w:sz w:val="24"/>
              </w:rPr>
              <w:t>评标方法</w:t>
            </w:r>
          </w:p>
        </w:tc>
        <w:tc>
          <w:tcPr>
            <w:tcW w:w="3450" w:type="pct"/>
            <w:tcBorders>
              <w:top w:val="single" w:color="auto" w:sz="4" w:space="0"/>
              <w:left w:val="single" w:color="auto" w:sz="4" w:space="0"/>
              <w:bottom w:val="single" w:color="auto" w:sz="4" w:space="0"/>
              <w:right w:val="single" w:color="auto" w:sz="4" w:space="0"/>
            </w:tcBorders>
            <w:vAlign w:val="center"/>
          </w:tcPr>
          <w:p w14:paraId="03F65CDE">
            <w:pPr>
              <w:spacing w:line="360" w:lineRule="auto"/>
              <w:rPr>
                <w:rFonts w:hint="eastAsia" w:ascii="宋体" w:hAnsi="宋体" w:cs="宋体"/>
                <w:bCs/>
                <w:sz w:val="24"/>
              </w:rPr>
            </w:pPr>
            <w:bookmarkStart w:id="14" w:name="_Hlk196299109"/>
            <w:r>
              <w:rPr>
                <w:rFonts w:hint="eastAsia" w:ascii="宋体" w:hAnsi="宋体" w:cs="宋体"/>
                <w:bCs/>
                <w:sz w:val="24"/>
              </w:rPr>
              <w:t>经评审的最低投标价法</w:t>
            </w:r>
            <w:bookmarkEnd w:id="14"/>
            <w:r>
              <w:rPr>
                <w:rFonts w:hint="eastAsia" w:ascii="宋体" w:hAnsi="宋体" w:cs="宋体"/>
                <w:bCs/>
                <w:sz w:val="24"/>
              </w:rPr>
              <w:t>。</w:t>
            </w:r>
          </w:p>
        </w:tc>
      </w:tr>
      <w:tr w14:paraId="07A2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6DFDA7AB">
            <w:pPr>
              <w:spacing w:line="360" w:lineRule="auto"/>
              <w:jc w:val="center"/>
              <w:rPr>
                <w:rFonts w:hint="eastAsia" w:ascii="宋体" w:hAnsi="宋体" w:cs="宋体"/>
                <w:sz w:val="24"/>
              </w:rPr>
            </w:pPr>
            <w:r>
              <w:rPr>
                <w:rFonts w:hint="eastAsia" w:ascii="宋体" w:hAnsi="宋体" w:cs="宋体"/>
                <w:sz w:val="24"/>
              </w:rPr>
              <w:t>10</w:t>
            </w:r>
          </w:p>
        </w:tc>
        <w:tc>
          <w:tcPr>
            <w:tcW w:w="1176" w:type="pct"/>
            <w:tcBorders>
              <w:top w:val="single" w:color="auto" w:sz="4" w:space="0"/>
              <w:left w:val="single" w:color="auto" w:sz="4" w:space="0"/>
              <w:bottom w:val="single" w:color="auto" w:sz="4" w:space="0"/>
              <w:right w:val="single" w:color="auto" w:sz="4" w:space="0"/>
            </w:tcBorders>
            <w:vAlign w:val="center"/>
          </w:tcPr>
          <w:p w14:paraId="37163AEA">
            <w:pPr>
              <w:spacing w:line="360" w:lineRule="auto"/>
              <w:jc w:val="center"/>
              <w:rPr>
                <w:rFonts w:hint="eastAsia" w:ascii="宋体" w:hAnsi="宋体" w:cs="宋体"/>
                <w:kern w:val="0"/>
                <w:sz w:val="24"/>
              </w:rPr>
            </w:pPr>
            <w:r>
              <w:rPr>
                <w:rFonts w:hint="eastAsia" w:ascii="宋体" w:hAnsi="宋体" w:cs="宋体"/>
                <w:kern w:val="0"/>
                <w:sz w:val="24"/>
              </w:rPr>
              <w:t>供应商的资格条件</w:t>
            </w:r>
          </w:p>
        </w:tc>
        <w:tc>
          <w:tcPr>
            <w:tcW w:w="3450" w:type="pct"/>
            <w:tcBorders>
              <w:top w:val="single" w:color="auto" w:sz="4" w:space="0"/>
              <w:left w:val="single" w:color="auto" w:sz="4" w:space="0"/>
              <w:bottom w:val="single" w:color="auto" w:sz="4" w:space="0"/>
              <w:right w:val="single" w:color="auto" w:sz="4" w:space="0"/>
            </w:tcBorders>
            <w:vAlign w:val="center"/>
          </w:tcPr>
          <w:p w14:paraId="6ADEFD25">
            <w:pPr>
              <w:spacing w:line="360" w:lineRule="auto"/>
              <w:rPr>
                <w:rFonts w:hint="eastAsia" w:ascii="宋体" w:hAnsi="宋体" w:cs="宋体"/>
                <w:kern w:val="0"/>
                <w:sz w:val="24"/>
              </w:rPr>
            </w:pPr>
            <w:r>
              <w:rPr>
                <w:rFonts w:hint="eastAsia" w:ascii="宋体" w:hAnsi="宋体" w:cs="宋体"/>
                <w:kern w:val="0"/>
                <w:sz w:val="24"/>
              </w:rPr>
              <w:t>同询价公告第二条</w:t>
            </w:r>
          </w:p>
        </w:tc>
      </w:tr>
      <w:tr w14:paraId="2C30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B95EFF6">
            <w:pPr>
              <w:spacing w:line="360" w:lineRule="auto"/>
              <w:jc w:val="center"/>
              <w:rPr>
                <w:rFonts w:hint="eastAsia" w:ascii="宋体" w:hAnsi="宋体" w:cs="宋体"/>
                <w:sz w:val="24"/>
              </w:rPr>
            </w:pPr>
            <w:r>
              <w:rPr>
                <w:rFonts w:hint="eastAsia" w:ascii="宋体" w:hAnsi="宋体" w:cs="宋体"/>
                <w:sz w:val="24"/>
              </w:rPr>
              <w:t>11</w:t>
            </w:r>
          </w:p>
        </w:tc>
        <w:tc>
          <w:tcPr>
            <w:tcW w:w="1176" w:type="pct"/>
            <w:tcBorders>
              <w:top w:val="single" w:color="auto" w:sz="4" w:space="0"/>
              <w:left w:val="single" w:color="auto" w:sz="4" w:space="0"/>
              <w:bottom w:val="single" w:color="auto" w:sz="4" w:space="0"/>
              <w:right w:val="single" w:color="auto" w:sz="4" w:space="0"/>
            </w:tcBorders>
            <w:vAlign w:val="center"/>
          </w:tcPr>
          <w:p w14:paraId="4223B464">
            <w:pPr>
              <w:spacing w:line="360" w:lineRule="auto"/>
              <w:jc w:val="center"/>
              <w:rPr>
                <w:rFonts w:hint="eastAsia" w:ascii="宋体" w:hAnsi="宋体" w:cs="宋体"/>
                <w:kern w:val="0"/>
                <w:sz w:val="24"/>
              </w:rPr>
            </w:pPr>
            <w:bookmarkStart w:id="15" w:name="_Hlk200546217"/>
            <w:r>
              <w:rPr>
                <w:rFonts w:hint="eastAsia" w:ascii="宋体" w:hAnsi="宋体" w:cs="宋体"/>
                <w:kern w:val="0"/>
                <w:sz w:val="24"/>
              </w:rPr>
              <w:t>服务期</w:t>
            </w:r>
          </w:p>
          <w:bookmarkEnd w:id="15"/>
        </w:tc>
        <w:tc>
          <w:tcPr>
            <w:tcW w:w="3450" w:type="pct"/>
            <w:tcBorders>
              <w:top w:val="single" w:color="auto" w:sz="4" w:space="0"/>
              <w:left w:val="single" w:color="auto" w:sz="4" w:space="0"/>
              <w:bottom w:val="single" w:color="auto" w:sz="4" w:space="0"/>
              <w:right w:val="single" w:color="auto" w:sz="4" w:space="0"/>
            </w:tcBorders>
            <w:vAlign w:val="center"/>
          </w:tcPr>
          <w:p w14:paraId="6ECC3C43">
            <w:pPr>
              <w:spacing w:line="360" w:lineRule="auto"/>
              <w:rPr>
                <w:rFonts w:hint="eastAsia" w:ascii="宋体" w:hAnsi="宋体" w:cs="宋体"/>
                <w:kern w:val="0"/>
                <w:sz w:val="24"/>
              </w:rPr>
            </w:pPr>
            <w:r>
              <w:rPr>
                <w:rFonts w:hint="eastAsia" w:ascii="宋体" w:hAnsi="宋体" w:cs="宋体"/>
                <w:kern w:val="0"/>
                <w:sz w:val="24"/>
              </w:rPr>
              <w:t>自合同签订之日起，100个工作日内取得《道路机动车辆生产企业及产品公告》批复。</w:t>
            </w:r>
          </w:p>
        </w:tc>
      </w:tr>
      <w:tr w14:paraId="35A7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67E88CB9">
            <w:pPr>
              <w:spacing w:line="360" w:lineRule="auto"/>
              <w:jc w:val="center"/>
              <w:rPr>
                <w:rFonts w:hint="eastAsia" w:ascii="宋体" w:hAnsi="宋体" w:cs="宋体"/>
                <w:sz w:val="24"/>
              </w:rPr>
            </w:pPr>
            <w:r>
              <w:rPr>
                <w:rFonts w:hint="eastAsia" w:ascii="宋体" w:hAnsi="宋体" w:cs="宋体"/>
                <w:sz w:val="24"/>
              </w:rPr>
              <w:t>12</w:t>
            </w:r>
          </w:p>
        </w:tc>
        <w:tc>
          <w:tcPr>
            <w:tcW w:w="1176" w:type="pct"/>
            <w:tcBorders>
              <w:top w:val="single" w:color="auto" w:sz="4" w:space="0"/>
              <w:left w:val="single" w:color="auto" w:sz="4" w:space="0"/>
              <w:bottom w:val="single" w:color="auto" w:sz="4" w:space="0"/>
              <w:right w:val="single" w:color="auto" w:sz="4" w:space="0"/>
            </w:tcBorders>
            <w:vAlign w:val="center"/>
          </w:tcPr>
          <w:p w14:paraId="5F6B7BDB">
            <w:pPr>
              <w:spacing w:line="360" w:lineRule="auto"/>
              <w:jc w:val="center"/>
              <w:rPr>
                <w:rFonts w:hint="eastAsia" w:ascii="宋体" w:hAnsi="宋体" w:cs="宋体"/>
                <w:bCs/>
                <w:sz w:val="24"/>
              </w:rPr>
            </w:pPr>
            <w:r>
              <w:rPr>
                <w:rFonts w:hint="eastAsia" w:ascii="宋体" w:hAnsi="宋体" w:cs="宋体"/>
                <w:b/>
                <w:sz w:val="24"/>
              </w:rPr>
              <w:t>最高投标限价（控制价）</w:t>
            </w:r>
          </w:p>
        </w:tc>
        <w:tc>
          <w:tcPr>
            <w:tcW w:w="3450" w:type="pct"/>
            <w:tcBorders>
              <w:top w:val="single" w:color="auto" w:sz="4" w:space="0"/>
              <w:left w:val="single" w:color="auto" w:sz="4" w:space="0"/>
              <w:bottom w:val="single" w:color="auto" w:sz="4" w:space="0"/>
              <w:right w:val="single" w:color="auto" w:sz="4" w:space="0"/>
            </w:tcBorders>
            <w:vAlign w:val="center"/>
          </w:tcPr>
          <w:p w14:paraId="397B7AEB">
            <w:pPr>
              <w:widowControl/>
              <w:spacing w:line="360" w:lineRule="auto"/>
              <w:ind w:firstLine="441" w:firstLineChars="183"/>
              <w:textAlignment w:val="center"/>
              <w:rPr>
                <w:rFonts w:hint="eastAsia" w:ascii="宋体" w:hAnsi="宋体" w:cs="宋体"/>
                <w:b/>
                <w:bCs/>
                <w:sz w:val="24"/>
              </w:rPr>
            </w:pPr>
            <w:r>
              <w:rPr>
                <w:rFonts w:hint="eastAsia" w:ascii="宋体" w:hAnsi="宋体" w:cs="宋体"/>
                <w:b/>
                <w:bCs/>
                <w:sz w:val="24"/>
              </w:rPr>
              <w:t>□无</w:t>
            </w:r>
          </w:p>
          <w:p w14:paraId="51275499">
            <w:pPr>
              <w:pStyle w:val="50"/>
              <w:autoSpaceDE w:val="0"/>
              <w:autoSpaceDN w:val="0"/>
              <w:spacing w:line="360" w:lineRule="auto"/>
              <w:ind w:firstLine="482" w:firstLineChars="200"/>
              <w:rPr>
                <w:rFonts w:hint="eastAsia" w:ascii="宋体" w:hAnsi="宋体" w:cs="宋体"/>
                <w:b/>
                <w:bCs/>
                <w:sz w:val="24"/>
              </w:rPr>
            </w:pPr>
            <w:r>
              <w:rPr>
                <w:rFonts w:hint="eastAsia" w:ascii="宋体" w:hAnsi="宋体" w:cs="宋体"/>
                <w:b/>
                <w:bCs/>
                <w:sz w:val="24"/>
              </w:rPr>
              <w:t>☑有，</w:t>
            </w:r>
            <w:r>
              <w:rPr>
                <w:rFonts w:hint="eastAsia" w:ascii="宋体" w:hAnsi="宋体" w:cs="宋体"/>
                <w:sz w:val="24"/>
              </w:rPr>
              <w:t>人民币31.0万元，其中改装公告申报服务费28万元，后续车辆改装服务费3万元</w:t>
            </w:r>
            <w:r>
              <w:rPr>
                <w:rFonts w:hint="eastAsia" w:cs="宋体"/>
                <w:sz w:val="24"/>
              </w:rPr>
              <w:t>。</w:t>
            </w:r>
          </w:p>
          <w:p w14:paraId="6CE55981">
            <w:pPr>
              <w:spacing w:line="360" w:lineRule="auto"/>
              <w:rPr>
                <w:rFonts w:hint="eastAsia" w:ascii="宋体" w:hAnsi="宋体" w:cs="宋体"/>
                <w:bCs/>
                <w:sz w:val="24"/>
              </w:rPr>
            </w:pPr>
            <w:r>
              <w:rPr>
                <w:rFonts w:hint="eastAsia" w:ascii="宋体" w:hAnsi="宋体" w:cs="宋体"/>
                <w:b/>
                <w:bCs/>
                <w:sz w:val="24"/>
              </w:rPr>
              <w:t>服务单价不得超过招标人给定的限制单价</w:t>
            </w:r>
            <w:r>
              <w:rPr>
                <w:rFonts w:hint="eastAsia" w:cs="宋体"/>
                <w:b/>
                <w:bCs/>
                <w:sz w:val="24"/>
              </w:rPr>
              <w:t>，</w:t>
            </w:r>
            <w:r>
              <w:rPr>
                <w:rFonts w:hint="eastAsia" w:ascii="宋体" w:hAnsi="宋体" w:cs="宋体"/>
                <w:b/>
                <w:bCs/>
                <w:sz w:val="24"/>
              </w:rPr>
              <w:t>投标文件有1项</w:t>
            </w:r>
            <w:r>
              <w:rPr>
                <w:rFonts w:hint="eastAsia" w:cs="宋体"/>
                <w:b/>
                <w:bCs/>
                <w:sz w:val="24"/>
              </w:rPr>
              <w:t>及以上</w:t>
            </w:r>
            <w:r>
              <w:rPr>
                <w:rFonts w:hint="eastAsia" w:ascii="宋体" w:hAnsi="宋体" w:cs="宋体"/>
                <w:b/>
                <w:bCs/>
                <w:sz w:val="24"/>
              </w:rPr>
              <w:t>服务单价高于限制单价的，视为无效报价，作否决其投标处理。</w:t>
            </w:r>
          </w:p>
        </w:tc>
      </w:tr>
      <w:tr w14:paraId="7225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BD54443">
            <w:pPr>
              <w:spacing w:line="360" w:lineRule="auto"/>
              <w:jc w:val="center"/>
              <w:rPr>
                <w:rFonts w:hint="eastAsia" w:ascii="宋体" w:hAnsi="宋体" w:cs="宋体"/>
                <w:sz w:val="24"/>
              </w:rPr>
            </w:pPr>
            <w:r>
              <w:rPr>
                <w:rFonts w:hint="eastAsia" w:ascii="宋体" w:hAnsi="宋体" w:cs="宋体"/>
                <w:sz w:val="24"/>
              </w:rPr>
              <w:t>13</w:t>
            </w:r>
          </w:p>
        </w:tc>
        <w:tc>
          <w:tcPr>
            <w:tcW w:w="1176" w:type="pct"/>
            <w:tcBorders>
              <w:top w:val="single" w:color="auto" w:sz="4" w:space="0"/>
              <w:left w:val="single" w:color="auto" w:sz="4" w:space="0"/>
              <w:bottom w:val="single" w:color="auto" w:sz="4" w:space="0"/>
              <w:right w:val="single" w:color="auto" w:sz="4" w:space="0"/>
            </w:tcBorders>
            <w:vAlign w:val="center"/>
          </w:tcPr>
          <w:p w14:paraId="3FA8BA92">
            <w:pPr>
              <w:spacing w:line="360" w:lineRule="auto"/>
              <w:jc w:val="center"/>
              <w:rPr>
                <w:rFonts w:hint="eastAsia" w:ascii="宋体" w:hAnsi="宋体" w:cs="宋体"/>
                <w:bCs/>
                <w:sz w:val="24"/>
              </w:rPr>
            </w:pPr>
            <w:r>
              <w:rPr>
                <w:rFonts w:hint="eastAsia" w:ascii="宋体" w:hAnsi="宋体" w:cs="宋体"/>
                <w:bCs/>
                <w:sz w:val="24"/>
              </w:rPr>
              <w:t>履约担保</w:t>
            </w:r>
          </w:p>
        </w:tc>
        <w:tc>
          <w:tcPr>
            <w:tcW w:w="3450" w:type="pct"/>
            <w:tcBorders>
              <w:top w:val="single" w:color="auto" w:sz="4" w:space="0"/>
              <w:left w:val="single" w:color="auto" w:sz="4" w:space="0"/>
              <w:bottom w:val="single" w:color="auto" w:sz="4" w:space="0"/>
              <w:right w:val="single" w:color="auto" w:sz="4" w:space="0"/>
            </w:tcBorders>
            <w:vAlign w:val="center"/>
          </w:tcPr>
          <w:p w14:paraId="470A532C">
            <w:pPr>
              <w:spacing w:line="360" w:lineRule="auto"/>
              <w:rPr>
                <w:rFonts w:hint="eastAsia" w:ascii="宋体" w:hAnsi="宋体" w:cs="宋体"/>
                <w:bCs/>
                <w:sz w:val="24"/>
              </w:rPr>
            </w:pPr>
            <w:r>
              <w:rPr>
                <w:rFonts w:hint="eastAsia" w:ascii="宋体" w:hAnsi="宋体" w:cs="宋体"/>
                <w:bCs/>
                <w:sz w:val="24"/>
              </w:rPr>
              <w:t>本项目成交供应商无需提供履约担保</w:t>
            </w:r>
          </w:p>
        </w:tc>
      </w:tr>
      <w:tr w14:paraId="441C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27A6C55A">
            <w:pPr>
              <w:spacing w:line="360" w:lineRule="auto"/>
              <w:jc w:val="center"/>
              <w:rPr>
                <w:rFonts w:hint="eastAsia" w:ascii="宋体" w:hAnsi="宋体" w:cs="宋体"/>
                <w:sz w:val="24"/>
              </w:rPr>
            </w:pPr>
            <w:r>
              <w:rPr>
                <w:rFonts w:hint="eastAsia" w:ascii="宋体" w:hAnsi="宋体" w:cs="宋体"/>
                <w:sz w:val="24"/>
              </w:rPr>
              <w:t>14</w:t>
            </w:r>
          </w:p>
        </w:tc>
        <w:tc>
          <w:tcPr>
            <w:tcW w:w="1176" w:type="pct"/>
            <w:tcBorders>
              <w:top w:val="single" w:color="auto" w:sz="4" w:space="0"/>
              <w:left w:val="single" w:color="auto" w:sz="4" w:space="0"/>
              <w:bottom w:val="single" w:color="auto" w:sz="4" w:space="0"/>
              <w:right w:val="single" w:color="auto" w:sz="4" w:space="0"/>
            </w:tcBorders>
            <w:vAlign w:val="center"/>
          </w:tcPr>
          <w:p w14:paraId="43EDD51A">
            <w:pPr>
              <w:spacing w:line="360" w:lineRule="auto"/>
              <w:jc w:val="center"/>
              <w:rPr>
                <w:rFonts w:hint="eastAsia" w:ascii="宋体" w:hAnsi="宋体" w:cs="宋体"/>
                <w:bCs/>
                <w:sz w:val="24"/>
              </w:rPr>
            </w:pPr>
            <w:r>
              <w:rPr>
                <w:rFonts w:hint="eastAsia" w:ascii="宋体" w:hAnsi="宋体" w:cs="宋体"/>
                <w:bCs/>
                <w:sz w:val="24"/>
              </w:rPr>
              <w:t>其他</w:t>
            </w:r>
          </w:p>
        </w:tc>
        <w:tc>
          <w:tcPr>
            <w:tcW w:w="3450" w:type="pct"/>
            <w:tcBorders>
              <w:top w:val="single" w:color="auto" w:sz="4" w:space="0"/>
              <w:left w:val="single" w:color="auto" w:sz="4" w:space="0"/>
              <w:bottom w:val="single" w:color="auto" w:sz="4" w:space="0"/>
              <w:right w:val="single" w:color="auto" w:sz="4" w:space="0"/>
            </w:tcBorders>
            <w:vAlign w:val="center"/>
          </w:tcPr>
          <w:p w14:paraId="16152442">
            <w:pPr>
              <w:spacing w:line="360" w:lineRule="auto"/>
              <w:rPr>
                <w:rFonts w:hint="eastAsia" w:ascii="宋体" w:hAnsi="宋体" w:cs="宋体"/>
                <w:bCs/>
                <w:sz w:val="24"/>
              </w:rPr>
            </w:pPr>
            <w:r>
              <w:rPr>
                <w:rFonts w:hint="eastAsia" w:ascii="宋体" w:hAnsi="宋体" w:cs="宋体"/>
                <w:bCs/>
                <w:sz w:val="24"/>
              </w:rPr>
              <w:t>在询价与评审阶段，如供应商采用邮寄询价文件或未到场参与询价的视为认可开标结果，同时视为已经将自己在询价中作出的澄清、变动作为询价文件递交。</w:t>
            </w:r>
          </w:p>
        </w:tc>
      </w:tr>
    </w:tbl>
    <w:p w14:paraId="7CC77FC5">
      <w:pPr>
        <w:adjustRightInd w:val="0"/>
        <w:snapToGrid w:val="0"/>
        <w:spacing w:line="336" w:lineRule="auto"/>
        <w:jc w:val="center"/>
        <w:rPr>
          <w:rFonts w:hint="eastAsia" w:ascii="宋体" w:hAnsi="宋体" w:cs="宋体"/>
          <w:b/>
          <w:bCs/>
          <w:sz w:val="24"/>
        </w:rPr>
        <w:sectPr>
          <w:footerReference r:id="rId5" w:type="first"/>
          <w:headerReference r:id="rId3" w:type="default"/>
          <w:footerReference r:id="rId4" w:type="default"/>
          <w:pgSz w:w="11906" w:h="16838"/>
          <w:pgMar w:top="1134" w:right="1134" w:bottom="1134" w:left="1417" w:header="680" w:footer="828" w:gutter="0"/>
          <w:pgNumType w:fmt="numberInDash"/>
          <w:cols w:space="720" w:num="1"/>
          <w:docGrid w:type="lines" w:linePitch="312" w:charSpace="0"/>
        </w:sectPr>
      </w:pPr>
    </w:p>
    <w:p w14:paraId="0C7D9FDB">
      <w:pPr>
        <w:autoSpaceDE w:val="0"/>
        <w:autoSpaceDN w:val="0"/>
        <w:rPr>
          <w:rFonts w:hint="eastAsia" w:ascii="宋体" w:hAnsi="宋体" w:cs="宋体"/>
          <w:sz w:val="24"/>
        </w:rPr>
      </w:pPr>
      <w:bookmarkStart w:id="16" w:name="_Toc10569"/>
      <w:bookmarkStart w:id="17" w:name="_Toc26379"/>
      <w:bookmarkStart w:id="18" w:name="_Toc10260"/>
      <w:bookmarkStart w:id="19" w:name="_Toc27318"/>
      <w:bookmarkStart w:id="20" w:name="_Toc4047"/>
      <w:bookmarkStart w:id="21" w:name="_Toc32704"/>
      <w:bookmarkStart w:id="22" w:name="_Toc19989"/>
      <w:bookmarkStart w:id="23" w:name="_Toc11956"/>
      <w:r>
        <w:rPr>
          <w:rFonts w:hint="eastAsia" w:ascii="宋体" w:hAnsi="宋体" w:cs="宋体"/>
          <w:sz w:val="24"/>
        </w:rPr>
        <w:t>附录1：资格审查条件(资质最低条件)</w:t>
      </w:r>
      <w:bookmarkEnd w:id="16"/>
      <w:bookmarkEnd w:id="17"/>
      <w:bookmarkEnd w:id="18"/>
      <w:bookmarkEnd w:id="19"/>
      <w:bookmarkEnd w:id="20"/>
      <w:bookmarkEnd w:id="21"/>
      <w:bookmarkEnd w:id="22"/>
      <w:bookmarkEnd w:id="23"/>
    </w:p>
    <w:p w14:paraId="4A6A4EA1">
      <w:pPr>
        <w:pStyle w:val="11"/>
        <w:rPr>
          <w:rFonts w:hint="eastAsia" w:ascii="宋体" w:hAnsi="宋体" w:cs="宋体"/>
        </w:rPr>
      </w:pPr>
    </w:p>
    <w:p w14:paraId="6B57478F">
      <w:pPr>
        <w:widowControl/>
        <w:autoSpaceDE w:val="0"/>
        <w:autoSpaceDN w:val="0"/>
        <w:jc w:val="center"/>
        <w:rPr>
          <w:rFonts w:hint="eastAsia" w:ascii="宋体" w:hAnsi="宋体" w:cs="宋体"/>
          <w:b/>
          <w:bCs/>
          <w:sz w:val="32"/>
          <w:szCs w:val="32"/>
        </w:rPr>
      </w:pPr>
      <w:bookmarkStart w:id="24" w:name="_Toc63080213"/>
      <w:bookmarkStart w:id="25" w:name="_Toc28165"/>
      <w:bookmarkStart w:id="26" w:name="_Toc12344"/>
      <w:bookmarkStart w:id="27" w:name="_Toc13291"/>
      <w:bookmarkStart w:id="28" w:name="_Toc21554"/>
      <w:bookmarkStart w:id="29" w:name="_Toc5312"/>
      <w:bookmarkStart w:id="30" w:name="_Toc20529"/>
      <w:bookmarkStart w:id="31" w:name="_Toc21681"/>
      <w:bookmarkStart w:id="32" w:name="_Toc27612"/>
      <w:bookmarkStart w:id="33" w:name="_Toc6246"/>
      <w:bookmarkStart w:id="34" w:name="_Toc17788"/>
      <w:bookmarkStart w:id="35" w:name="_Toc16559"/>
      <w:bookmarkStart w:id="36" w:name="_Toc27968"/>
      <w:bookmarkStart w:id="37" w:name="_Toc10004"/>
      <w:bookmarkStart w:id="38" w:name="_Toc28878"/>
      <w:bookmarkStart w:id="39" w:name="_Toc6930"/>
      <w:bookmarkStart w:id="40" w:name="_Toc24257_WPSOffice_Level2"/>
      <w:r>
        <w:rPr>
          <w:rFonts w:hint="eastAsia" w:ascii="宋体" w:hAnsi="宋体" w:cs="宋体"/>
          <w:b/>
          <w:bCs/>
          <w:sz w:val="32"/>
          <w:szCs w:val="32"/>
        </w:rPr>
        <w:t>资格审查条件(资质最低条件)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tbl>
      <w:tblPr>
        <w:tblStyle w:val="2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8"/>
      </w:tblGrid>
      <w:tr w14:paraId="402E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9138" w:type="dxa"/>
            <w:vAlign w:val="center"/>
          </w:tcPr>
          <w:p w14:paraId="0E612752">
            <w:pPr>
              <w:autoSpaceDE w:val="0"/>
              <w:autoSpaceDN w:val="0"/>
              <w:adjustRightInd w:val="0"/>
              <w:snapToGrid w:val="0"/>
              <w:jc w:val="center"/>
              <w:rPr>
                <w:rFonts w:hint="eastAsia" w:ascii="宋体" w:hAnsi="宋体" w:cs="宋体"/>
                <w:sz w:val="24"/>
              </w:rPr>
            </w:pPr>
            <w:r>
              <w:rPr>
                <w:rFonts w:hint="eastAsia" w:ascii="宋体" w:hAnsi="宋体" w:cs="宋体"/>
                <w:sz w:val="24"/>
              </w:rPr>
              <w:t>资质要求</w:t>
            </w:r>
          </w:p>
        </w:tc>
      </w:tr>
      <w:tr w14:paraId="35D6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5" w:hRule="atLeast"/>
          <w:jc w:val="center"/>
        </w:trPr>
        <w:tc>
          <w:tcPr>
            <w:tcW w:w="9138" w:type="dxa"/>
            <w:vAlign w:val="center"/>
          </w:tcPr>
          <w:p w14:paraId="4901A563">
            <w:pPr>
              <w:adjustRightInd w:val="0"/>
              <w:snapToGrid w:val="0"/>
              <w:spacing w:line="440" w:lineRule="exact"/>
              <w:ind w:firstLine="480" w:firstLineChars="200"/>
              <w:rPr>
                <w:rFonts w:hint="eastAsia" w:ascii="宋体" w:hAnsi="宋体" w:cs="宋体"/>
                <w:sz w:val="24"/>
                <w:lang w:bidi="zh-CN"/>
              </w:rPr>
            </w:pPr>
            <w:r>
              <w:rPr>
                <w:rFonts w:hint="eastAsia" w:ascii="宋体" w:hAnsi="宋体" w:cs="宋体"/>
                <w:sz w:val="24"/>
                <w:lang w:bidi="zh-CN"/>
              </w:rPr>
              <w:t>①投标人应是在中国境内依法注册的独立法人企业，持有有效的营业执照或事业单位法人证书（须提供营业执照或事业单位法人证书扫描件）。</w:t>
            </w:r>
          </w:p>
          <w:p w14:paraId="5F32AAFE">
            <w:pPr>
              <w:adjustRightInd w:val="0"/>
              <w:snapToGrid w:val="0"/>
              <w:spacing w:line="440" w:lineRule="exact"/>
              <w:ind w:firstLine="480" w:firstLineChars="200"/>
            </w:pPr>
            <w:r>
              <w:rPr>
                <w:rFonts w:hint="eastAsia" w:ascii="宋体" w:hAnsi="宋体" w:cs="宋体"/>
                <w:sz w:val="24"/>
                <w:lang w:bidi="zh-CN"/>
              </w:rPr>
              <w:t>②具备车辆改装及车辆改装公告申报能力；</w:t>
            </w:r>
            <w:r>
              <w:rPr>
                <w:rFonts w:hint="eastAsia" w:ascii="宋体" w:hAnsi="宋体" w:cs="宋体"/>
                <w:color w:val="auto"/>
                <w:sz w:val="24"/>
                <w:lang w:bidi="zh-CN"/>
              </w:rPr>
              <w:t>（需提供道路机动车辆生产企业准入资质（或对应专项改装资质））</w:t>
            </w:r>
          </w:p>
        </w:tc>
      </w:tr>
    </w:tbl>
    <w:p w14:paraId="0A6725C0">
      <w:pPr>
        <w:rPr>
          <w:rFonts w:hint="eastAsia" w:ascii="宋体" w:hAnsi="宋体" w:cs="宋体"/>
        </w:rPr>
      </w:pPr>
    </w:p>
    <w:p w14:paraId="321FEB33">
      <w:pPr>
        <w:adjustRightInd w:val="0"/>
        <w:snapToGrid w:val="0"/>
        <w:spacing w:line="360" w:lineRule="auto"/>
        <w:rPr>
          <w:rFonts w:hint="eastAsia" w:ascii="宋体" w:hAnsi="宋体" w:cs="宋体"/>
          <w:sz w:val="24"/>
        </w:rPr>
      </w:pPr>
      <w:bookmarkStart w:id="41" w:name="_Toc2966"/>
      <w:r>
        <w:rPr>
          <w:rFonts w:hint="eastAsia" w:ascii="宋体" w:hAnsi="宋体" w:cs="宋体"/>
          <w:sz w:val="24"/>
        </w:rPr>
        <w:br w:type="page"/>
      </w:r>
    </w:p>
    <w:p w14:paraId="0D8EE310">
      <w:pPr>
        <w:adjustRightInd w:val="0"/>
        <w:snapToGrid w:val="0"/>
        <w:spacing w:line="360" w:lineRule="auto"/>
        <w:rPr>
          <w:rFonts w:hint="eastAsia" w:ascii="宋体" w:hAnsi="宋体" w:cs="宋体"/>
          <w:sz w:val="24"/>
        </w:rPr>
      </w:pPr>
    </w:p>
    <w:p w14:paraId="3DA9A6FE">
      <w:pPr>
        <w:autoSpaceDE w:val="0"/>
        <w:autoSpaceDN w:val="0"/>
        <w:rPr>
          <w:rFonts w:hint="eastAsia" w:ascii="宋体" w:hAnsi="宋体" w:cs="宋体"/>
          <w:sz w:val="24"/>
        </w:rPr>
      </w:pPr>
      <w:bookmarkStart w:id="42" w:name="_Toc30298"/>
      <w:bookmarkStart w:id="43" w:name="_Toc21147"/>
      <w:bookmarkStart w:id="44" w:name="_Toc5113"/>
      <w:bookmarkStart w:id="45" w:name="_Toc22212"/>
      <w:bookmarkStart w:id="46" w:name="_Toc24676"/>
      <w:bookmarkStart w:id="47" w:name="_Toc17958"/>
      <w:bookmarkStart w:id="48" w:name="_Toc22340"/>
      <w:r>
        <w:rPr>
          <w:rFonts w:hint="eastAsia" w:ascii="宋体" w:hAnsi="宋体" w:cs="宋体"/>
          <w:sz w:val="24"/>
        </w:rPr>
        <w:t>附录2：资格审查条件(业绩最低要求)</w:t>
      </w:r>
      <w:bookmarkEnd w:id="41"/>
      <w:bookmarkEnd w:id="42"/>
      <w:bookmarkEnd w:id="43"/>
      <w:bookmarkEnd w:id="44"/>
      <w:bookmarkEnd w:id="45"/>
      <w:bookmarkEnd w:id="46"/>
      <w:bookmarkEnd w:id="47"/>
      <w:bookmarkEnd w:id="48"/>
    </w:p>
    <w:p w14:paraId="3078315F">
      <w:pPr>
        <w:pStyle w:val="11"/>
        <w:rPr>
          <w:rFonts w:hint="eastAsia" w:ascii="宋体" w:hAnsi="宋体" w:cs="宋体"/>
        </w:rPr>
      </w:pPr>
    </w:p>
    <w:p w14:paraId="0E0ACDDA">
      <w:pPr>
        <w:widowControl/>
        <w:autoSpaceDE w:val="0"/>
        <w:autoSpaceDN w:val="0"/>
        <w:jc w:val="center"/>
        <w:rPr>
          <w:rFonts w:hint="eastAsia" w:ascii="宋体" w:hAnsi="宋体" w:cs="宋体"/>
          <w:b/>
          <w:bCs/>
          <w:sz w:val="32"/>
          <w:szCs w:val="32"/>
        </w:rPr>
      </w:pPr>
      <w:bookmarkStart w:id="49" w:name="_Toc9313"/>
      <w:bookmarkStart w:id="50" w:name="_Toc18465"/>
      <w:bookmarkStart w:id="51" w:name="_Toc31879"/>
      <w:bookmarkStart w:id="52" w:name="_Toc5652"/>
      <w:bookmarkStart w:id="53" w:name="_Toc5915"/>
      <w:bookmarkStart w:id="54" w:name="_Toc20987"/>
      <w:bookmarkStart w:id="55" w:name="_Toc27742"/>
      <w:bookmarkStart w:id="56" w:name="_Toc6712"/>
      <w:bookmarkStart w:id="57" w:name="_Toc16225"/>
      <w:bookmarkStart w:id="58" w:name="_Toc6803"/>
      <w:bookmarkStart w:id="59" w:name="_Toc63080214"/>
      <w:bookmarkStart w:id="60" w:name="_Toc12165"/>
      <w:bookmarkStart w:id="61" w:name="_Toc9100"/>
      <w:bookmarkStart w:id="62" w:name="_Toc31941"/>
      <w:bookmarkStart w:id="63" w:name="_Toc14078_WPSOffice_Level2"/>
      <w:bookmarkStart w:id="64" w:name="_Toc7974"/>
      <w:bookmarkStart w:id="65" w:name="_Toc17358"/>
      <w:r>
        <w:rPr>
          <w:rFonts w:hint="eastAsia" w:ascii="宋体" w:hAnsi="宋体" w:cs="宋体"/>
          <w:b/>
          <w:bCs/>
          <w:sz w:val="32"/>
          <w:szCs w:val="32"/>
        </w:rPr>
        <w:t>资格审查条件(业绩最低要求)</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Style w:val="2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5"/>
      </w:tblGrid>
      <w:tr w14:paraId="276F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4" w:hRule="atLeast"/>
          <w:jc w:val="center"/>
        </w:trPr>
        <w:tc>
          <w:tcPr>
            <w:tcW w:w="9155" w:type="dxa"/>
            <w:vAlign w:val="center"/>
          </w:tcPr>
          <w:p w14:paraId="4F87CA7C">
            <w:pPr>
              <w:adjustRightInd w:val="0"/>
              <w:snapToGrid w:val="0"/>
              <w:spacing w:line="360" w:lineRule="auto"/>
              <w:ind w:left="-439" w:leftChars="-209" w:firstLine="348" w:firstLineChars="145"/>
              <w:jc w:val="center"/>
              <w:rPr>
                <w:rFonts w:hint="eastAsia" w:ascii="宋体" w:hAnsi="宋体" w:cs="宋体"/>
                <w:sz w:val="24"/>
              </w:rPr>
            </w:pPr>
            <w:r>
              <w:rPr>
                <w:rFonts w:hint="eastAsia" w:ascii="宋体" w:hAnsi="宋体" w:cs="宋体"/>
                <w:sz w:val="24"/>
              </w:rPr>
              <w:t>业 绩 要 求</w:t>
            </w:r>
          </w:p>
        </w:tc>
      </w:tr>
      <w:tr w14:paraId="3D1A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1" w:hRule="atLeast"/>
          <w:jc w:val="center"/>
        </w:trPr>
        <w:tc>
          <w:tcPr>
            <w:tcW w:w="9155" w:type="dxa"/>
          </w:tcPr>
          <w:p w14:paraId="06A2122B">
            <w:pPr>
              <w:pStyle w:val="47"/>
              <w:spacing w:line="360" w:lineRule="auto"/>
              <w:ind w:firstLine="480" w:firstLineChars="200"/>
              <w:rPr>
                <w:rFonts w:ascii="宋体" w:hAnsi="宋体" w:eastAsia="宋体" w:cs="宋体"/>
                <w:color w:val="auto"/>
                <w:szCs w:val="24"/>
                <w:lang w:bidi="zh-CN"/>
              </w:rPr>
            </w:pPr>
            <w:r>
              <w:rPr>
                <w:rFonts w:ascii="宋体" w:hAnsi="宋体" w:eastAsia="宋体" w:cs="宋体"/>
                <w:color w:val="auto"/>
                <w:szCs w:val="24"/>
                <w:lang w:bidi="zh-CN"/>
              </w:rPr>
              <w:t>投标人近五年以来(自2020年1月1日至投标截止时间)，至少具有1项车辆改装及车辆改装公告申报成功案例。</w:t>
            </w:r>
          </w:p>
          <w:p w14:paraId="129FAE47">
            <w:pPr>
              <w:pStyle w:val="47"/>
              <w:spacing w:line="360" w:lineRule="auto"/>
              <w:ind w:firstLine="480" w:firstLineChars="200"/>
              <w:rPr>
                <w:rFonts w:ascii="宋体" w:hAnsi="宋体" w:eastAsia="宋体" w:cs="宋体"/>
                <w:color w:val="auto"/>
                <w:szCs w:val="24"/>
                <w:lang w:bidi="zh-CN"/>
              </w:rPr>
            </w:pPr>
            <w:r>
              <w:rPr>
                <w:rFonts w:ascii="宋体" w:hAnsi="宋体" w:eastAsia="宋体" w:cs="宋体"/>
                <w:color w:val="auto"/>
                <w:szCs w:val="24"/>
                <w:lang w:bidi="zh-CN"/>
              </w:rPr>
              <w:t>注：①需提供合同、申报成功公告截图或扫描复印件等证明材料；</w:t>
            </w:r>
          </w:p>
          <w:p w14:paraId="12ED852E">
            <w:pPr>
              <w:pStyle w:val="47"/>
              <w:spacing w:line="360" w:lineRule="auto"/>
              <w:ind w:firstLine="960" w:firstLineChars="400"/>
              <w:rPr>
                <w:rFonts w:ascii="宋体" w:hAnsi="宋体" w:eastAsia="宋体" w:cs="宋体"/>
                <w:color w:val="auto"/>
              </w:rPr>
            </w:pPr>
            <w:r>
              <w:rPr>
                <w:rFonts w:ascii="宋体" w:hAnsi="宋体" w:eastAsia="宋体" w:cs="宋体"/>
                <w:color w:val="auto"/>
                <w:szCs w:val="24"/>
                <w:lang w:bidi="zh-CN"/>
              </w:rPr>
              <w:t>②业绩时间以合同签订时间为准；</w:t>
            </w:r>
          </w:p>
        </w:tc>
      </w:tr>
    </w:tbl>
    <w:p w14:paraId="4D6ABCDC">
      <w:pPr>
        <w:adjustRightInd w:val="0"/>
        <w:snapToGrid w:val="0"/>
        <w:spacing w:line="360" w:lineRule="auto"/>
        <w:ind w:left="-439" w:leftChars="-209" w:firstLine="349" w:firstLineChars="145"/>
        <w:rPr>
          <w:rFonts w:hint="eastAsia" w:ascii="宋体" w:hAnsi="宋体" w:cs="宋体"/>
          <w:b/>
          <w:sz w:val="24"/>
        </w:rPr>
      </w:pPr>
    </w:p>
    <w:p w14:paraId="12DC100D">
      <w:pPr>
        <w:rPr>
          <w:rFonts w:hint="eastAsia" w:ascii="宋体" w:hAnsi="宋体" w:cs="宋体"/>
          <w:sz w:val="24"/>
        </w:rPr>
      </w:pPr>
      <w:bookmarkStart w:id="66" w:name="_Toc32180"/>
      <w:r>
        <w:rPr>
          <w:rFonts w:hint="eastAsia" w:ascii="宋体" w:hAnsi="宋体" w:cs="宋体"/>
          <w:sz w:val="24"/>
        </w:rPr>
        <w:br w:type="page"/>
      </w:r>
    </w:p>
    <w:p w14:paraId="1F608B2E">
      <w:pPr>
        <w:autoSpaceDE w:val="0"/>
        <w:autoSpaceDN w:val="0"/>
        <w:rPr>
          <w:rFonts w:hint="eastAsia" w:ascii="宋体" w:hAnsi="宋体" w:cs="宋体"/>
          <w:sz w:val="24"/>
        </w:rPr>
      </w:pPr>
      <w:bookmarkStart w:id="67" w:name="_Toc25722"/>
      <w:bookmarkStart w:id="68" w:name="_Toc4929"/>
      <w:bookmarkStart w:id="69" w:name="_Toc10037"/>
      <w:bookmarkStart w:id="70" w:name="_Toc21203"/>
      <w:bookmarkStart w:id="71" w:name="_Toc2307"/>
      <w:bookmarkStart w:id="72" w:name="_Toc18501"/>
      <w:bookmarkStart w:id="73" w:name="_Toc18998"/>
      <w:r>
        <w:rPr>
          <w:rFonts w:hint="eastAsia" w:ascii="宋体" w:hAnsi="宋体" w:cs="宋体"/>
          <w:sz w:val="24"/>
        </w:rPr>
        <w:t>附录3：资格审查条件(信誉最低要求)</w:t>
      </w:r>
      <w:bookmarkEnd w:id="66"/>
      <w:bookmarkEnd w:id="67"/>
      <w:bookmarkEnd w:id="68"/>
      <w:bookmarkEnd w:id="69"/>
      <w:bookmarkEnd w:id="70"/>
      <w:bookmarkEnd w:id="71"/>
      <w:bookmarkEnd w:id="72"/>
      <w:bookmarkEnd w:id="73"/>
    </w:p>
    <w:p w14:paraId="55C82FFD">
      <w:pPr>
        <w:pStyle w:val="11"/>
        <w:rPr>
          <w:rFonts w:hint="eastAsia" w:ascii="宋体" w:hAnsi="宋体" w:cs="宋体"/>
        </w:rPr>
      </w:pPr>
    </w:p>
    <w:p w14:paraId="7BE5D34D">
      <w:pPr>
        <w:widowControl/>
        <w:autoSpaceDE w:val="0"/>
        <w:autoSpaceDN w:val="0"/>
        <w:jc w:val="center"/>
        <w:rPr>
          <w:rFonts w:hint="eastAsia" w:ascii="宋体" w:hAnsi="宋体" w:cs="宋体"/>
          <w:b/>
          <w:bCs/>
          <w:sz w:val="32"/>
          <w:szCs w:val="32"/>
        </w:rPr>
      </w:pPr>
      <w:bookmarkStart w:id="74" w:name="_Toc2768"/>
      <w:r>
        <w:rPr>
          <w:rFonts w:hint="eastAsia" w:ascii="宋体" w:hAnsi="宋体" w:cs="宋体"/>
          <w:b/>
          <w:bCs/>
          <w:sz w:val="32"/>
          <w:szCs w:val="32"/>
        </w:rPr>
        <w:t>资格审查条件(信誉最低要求)</w:t>
      </w:r>
      <w:bookmarkEnd w:id="74"/>
    </w:p>
    <w:tbl>
      <w:tblPr>
        <w:tblStyle w:val="23"/>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5"/>
      </w:tblGrid>
      <w:tr w14:paraId="756E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5" w:type="dxa"/>
            <w:vAlign w:val="center"/>
          </w:tcPr>
          <w:p w14:paraId="3AE81B5F">
            <w:pPr>
              <w:adjustRightInd w:val="0"/>
              <w:snapToGrid w:val="0"/>
              <w:jc w:val="center"/>
              <w:rPr>
                <w:rFonts w:hint="eastAsia" w:ascii="宋体" w:hAnsi="宋体" w:cs="宋体"/>
                <w:sz w:val="24"/>
              </w:rPr>
            </w:pPr>
            <w:r>
              <w:rPr>
                <w:rFonts w:hint="eastAsia" w:ascii="宋体" w:hAnsi="宋体" w:cs="宋体"/>
                <w:sz w:val="24"/>
              </w:rPr>
              <w:t>信 誉 要 求</w:t>
            </w:r>
          </w:p>
        </w:tc>
      </w:tr>
      <w:tr w14:paraId="7BC5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9155" w:type="dxa"/>
            <w:vAlign w:val="center"/>
          </w:tcPr>
          <w:p w14:paraId="39FA0406">
            <w:pPr>
              <w:spacing w:line="360" w:lineRule="auto"/>
              <w:ind w:firstLine="480" w:firstLineChars="200"/>
              <w:rPr>
                <w:rFonts w:hint="eastAsia" w:ascii="宋体" w:hAnsi="宋体" w:cs="宋体"/>
                <w:sz w:val="24"/>
              </w:rPr>
            </w:pPr>
          </w:p>
          <w:p w14:paraId="47792EA0">
            <w:pPr>
              <w:spacing w:line="360" w:lineRule="auto"/>
              <w:ind w:firstLine="480" w:firstLineChars="200"/>
              <w:rPr>
                <w:rFonts w:hint="eastAsia" w:ascii="宋体" w:hAnsi="宋体" w:cs="宋体"/>
                <w:sz w:val="24"/>
              </w:rPr>
            </w:pPr>
            <w:r>
              <w:rPr>
                <w:rFonts w:hint="eastAsia" w:ascii="宋体" w:hAnsi="宋体" w:cs="宋体"/>
                <w:sz w:val="24"/>
              </w:rPr>
              <w:t>投标人自2022年1月1日以来存在以下不良信用记录情形之一的，不得推荐为中标候选人，不得确定为中标人：</w:t>
            </w:r>
          </w:p>
          <w:p w14:paraId="0EFE7ECE">
            <w:pPr>
              <w:spacing w:line="360" w:lineRule="auto"/>
              <w:ind w:firstLine="480" w:firstLineChars="200"/>
              <w:rPr>
                <w:rFonts w:hint="eastAsia" w:ascii="宋体" w:hAnsi="宋体" w:cs="宋体"/>
                <w:sz w:val="24"/>
              </w:rPr>
            </w:pPr>
            <w:r>
              <w:rPr>
                <w:rFonts w:hint="eastAsia" w:ascii="宋体" w:hAnsi="宋体" w:cs="宋体"/>
                <w:sz w:val="24"/>
              </w:rPr>
              <w:t>（1）处于被责令停产停业、暂扣或者吊销执照、暂扣或者吊销许可证、吊销资质证书状态；</w:t>
            </w:r>
          </w:p>
          <w:p w14:paraId="54534DAC">
            <w:pPr>
              <w:spacing w:line="360" w:lineRule="auto"/>
              <w:ind w:firstLine="480" w:firstLineChars="200"/>
              <w:rPr>
                <w:rFonts w:hint="eastAsia" w:ascii="宋体" w:hAnsi="宋体" w:cs="宋体"/>
                <w:sz w:val="24"/>
              </w:rPr>
            </w:pPr>
            <w:r>
              <w:rPr>
                <w:rFonts w:hint="eastAsia" w:ascii="宋体" w:hAnsi="宋体" w:cs="宋体"/>
                <w:sz w:val="24"/>
              </w:rPr>
              <w:t>（2）进入清算程序，或被宣告破产，或其他丧失履约能力的情形；</w:t>
            </w:r>
          </w:p>
          <w:p w14:paraId="1AD7991A">
            <w:pPr>
              <w:spacing w:line="360" w:lineRule="auto"/>
              <w:ind w:firstLine="480" w:firstLineChars="200"/>
              <w:rPr>
                <w:rFonts w:hint="eastAsia" w:ascii="宋体" w:hAnsi="宋体" w:cs="宋体"/>
                <w:sz w:val="24"/>
              </w:rPr>
            </w:pPr>
            <w:r>
              <w:rPr>
                <w:rFonts w:hint="eastAsia" w:ascii="宋体" w:hAnsi="宋体" w:cs="宋体"/>
                <w:sz w:val="24"/>
              </w:rPr>
              <w:t>（3）在国家企业信用信息公示系统（http://www.gsxt.gov.cn/）中被列入严重违法失信企业名单；</w:t>
            </w:r>
          </w:p>
          <w:p w14:paraId="5C193736">
            <w:pPr>
              <w:spacing w:line="360" w:lineRule="auto"/>
              <w:ind w:firstLine="480" w:firstLineChars="200"/>
              <w:rPr>
                <w:rFonts w:hint="eastAsia" w:ascii="宋体" w:hAnsi="宋体" w:cs="宋体"/>
                <w:sz w:val="24"/>
              </w:rPr>
            </w:pPr>
            <w:r>
              <w:rPr>
                <w:rFonts w:hint="eastAsia" w:ascii="宋体" w:hAnsi="宋体" w:cs="宋体"/>
                <w:sz w:val="24"/>
              </w:rPr>
              <w:t xml:space="preserve">（4）在“中国执行信息公开网”（http://zxgk.court.gov.cn/）中被列入失信被执行人名单； </w:t>
            </w:r>
          </w:p>
          <w:p w14:paraId="4E67F85F">
            <w:pPr>
              <w:spacing w:line="360" w:lineRule="auto"/>
              <w:ind w:firstLine="480" w:firstLineChars="200"/>
              <w:rPr>
                <w:rFonts w:hint="eastAsia" w:ascii="宋体" w:hAnsi="宋体" w:cs="宋体"/>
                <w:sz w:val="24"/>
              </w:rPr>
            </w:pPr>
            <w:r>
              <w:rPr>
                <w:rFonts w:hint="eastAsia" w:ascii="宋体" w:hAnsi="宋体" w:cs="宋体"/>
                <w:sz w:val="24"/>
              </w:rPr>
              <w:t>（5）投标人或其法定代表人在近三年内有行贿犯罪行为的；</w:t>
            </w:r>
          </w:p>
          <w:p w14:paraId="05B0219E">
            <w:pPr>
              <w:spacing w:line="360" w:lineRule="auto"/>
              <w:ind w:firstLine="480" w:firstLineChars="200"/>
              <w:rPr>
                <w:rFonts w:hint="eastAsia" w:ascii="宋体" w:hAnsi="宋体" w:cs="宋体"/>
                <w:sz w:val="24"/>
              </w:rPr>
            </w:pPr>
            <w:r>
              <w:rPr>
                <w:rFonts w:hint="eastAsia" w:ascii="宋体" w:hAnsi="宋体" w:cs="宋体"/>
                <w:sz w:val="24"/>
              </w:rPr>
              <w:t>（6）其他：无。</w:t>
            </w:r>
          </w:p>
          <w:p w14:paraId="51065A5A">
            <w:pPr>
              <w:rPr>
                <w:rFonts w:hint="eastAsia" w:ascii="宋体" w:hAnsi="宋体" w:cs="宋体"/>
              </w:rPr>
            </w:pPr>
            <w:r>
              <w:rPr>
                <w:rFonts w:hint="eastAsia" w:ascii="宋体" w:hAnsi="宋体" w:cs="宋体"/>
                <w:sz w:val="24"/>
              </w:rPr>
              <w:br w:type="page"/>
            </w:r>
          </w:p>
        </w:tc>
      </w:tr>
    </w:tbl>
    <w:p w14:paraId="525530E3">
      <w:pPr>
        <w:rPr>
          <w:rFonts w:hint="eastAsia" w:ascii="宋体" w:hAnsi="宋体" w:cs="宋体"/>
          <w:sz w:val="24"/>
        </w:rPr>
      </w:pPr>
      <w:r>
        <w:rPr>
          <w:rFonts w:hint="eastAsia" w:cs="宋体"/>
          <w:sz w:val="24"/>
        </w:rPr>
        <w:t>提供承诺函。</w:t>
      </w:r>
    </w:p>
    <w:p w14:paraId="29415799">
      <w:pPr>
        <w:pStyle w:val="15"/>
        <w:rPr>
          <w:rFonts w:hint="eastAsia" w:ascii="宋体" w:hAnsi="宋体" w:cs="宋体"/>
          <w:b/>
          <w:bCs/>
          <w:sz w:val="24"/>
          <w:szCs w:val="24"/>
        </w:rPr>
      </w:pPr>
    </w:p>
    <w:p w14:paraId="4ACA47F9">
      <w:pPr>
        <w:pStyle w:val="15"/>
        <w:rPr>
          <w:rFonts w:hint="eastAsia" w:ascii="宋体" w:hAnsi="宋体" w:cs="宋体"/>
          <w:b/>
          <w:bCs/>
          <w:sz w:val="24"/>
          <w:szCs w:val="24"/>
        </w:rPr>
      </w:pPr>
    </w:p>
    <w:p w14:paraId="4D37E88F">
      <w:pPr>
        <w:rPr>
          <w:rFonts w:hint="eastAsia" w:ascii="宋体" w:hAnsi="宋体" w:cs="宋体"/>
          <w:b/>
          <w:bCs/>
          <w:sz w:val="24"/>
        </w:rPr>
      </w:pPr>
      <w:r>
        <w:rPr>
          <w:rFonts w:hint="eastAsia" w:ascii="宋体" w:hAnsi="宋体" w:cs="宋体"/>
          <w:sz w:val="24"/>
        </w:rPr>
        <w:br w:type="page"/>
      </w:r>
    </w:p>
    <w:p w14:paraId="74E18C44">
      <w:pPr>
        <w:adjustRightInd w:val="0"/>
        <w:snapToGrid w:val="0"/>
        <w:spacing w:line="336" w:lineRule="auto"/>
        <w:jc w:val="center"/>
        <w:rPr>
          <w:rFonts w:hint="eastAsia" w:ascii="宋体" w:hAnsi="宋体" w:cs="宋体"/>
          <w:b/>
          <w:bCs/>
          <w:sz w:val="24"/>
        </w:rPr>
      </w:pPr>
      <w:r>
        <w:rPr>
          <w:rFonts w:hint="eastAsia" w:ascii="宋体" w:hAnsi="宋体" w:cs="宋体"/>
          <w:b/>
          <w:bCs/>
          <w:sz w:val="24"/>
        </w:rPr>
        <w:t>供应商须知</w:t>
      </w:r>
    </w:p>
    <w:p w14:paraId="0BCEF023">
      <w:pPr>
        <w:adjustRightInd w:val="0"/>
        <w:snapToGrid w:val="0"/>
        <w:spacing w:line="360" w:lineRule="auto"/>
        <w:jc w:val="center"/>
        <w:rPr>
          <w:rFonts w:hint="eastAsia" w:ascii="宋体" w:hAnsi="宋体" w:cs="宋体"/>
          <w:b/>
          <w:bCs/>
          <w:sz w:val="24"/>
        </w:rPr>
      </w:pPr>
      <w:bookmarkStart w:id="75" w:name="_Toc3961971"/>
      <w:bookmarkStart w:id="76" w:name="_Toc3195641"/>
      <w:r>
        <w:rPr>
          <w:rFonts w:hint="eastAsia" w:ascii="宋体" w:hAnsi="宋体" w:cs="宋体"/>
          <w:b/>
          <w:bCs/>
          <w:sz w:val="24"/>
        </w:rPr>
        <w:t>一、总则</w:t>
      </w:r>
      <w:bookmarkEnd w:id="75"/>
      <w:bookmarkEnd w:id="76"/>
    </w:p>
    <w:p w14:paraId="1CDF23B1">
      <w:pPr>
        <w:adjustRightInd w:val="0"/>
        <w:snapToGrid w:val="0"/>
        <w:spacing w:line="360" w:lineRule="auto"/>
        <w:ind w:firstLine="482" w:firstLineChars="200"/>
        <w:rPr>
          <w:rFonts w:hint="eastAsia" w:ascii="宋体" w:hAnsi="宋体" w:cs="宋体"/>
          <w:b/>
          <w:bCs/>
          <w:sz w:val="24"/>
        </w:rPr>
      </w:pPr>
      <w:bookmarkStart w:id="77" w:name="_Toc3195642"/>
      <w:bookmarkStart w:id="78" w:name="_Toc3961972"/>
      <w:r>
        <w:rPr>
          <w:rFonts w:hint="eastAsia" w:ascii="宋体" w:hAnsi="宋体" w:cs="宋体"/>
          <w:b/>
          <w:bCs/>
          <w:sz w:val="24"/>
        </w:rPr>
        <w:t>（一）</w:t>
      </w:r>
      <w:r>
        <w:rPr>
          <w:rFonts w:hint="eastAsia" w:ascii="宋体" w:hAnsi="宋体" w:cs="Arial"/>
          <w:b/>
          <w:sz w:val="24"/>
        </w:rPr>
        <w:t>适用范围</w:t>
      </w:r>
      <w:r>
        <w:rPr>
          <w:rFonts w:hint="eastAsia" w:ascii="宋体" w:hAnsi="宋体" w:cs="宋体"/>
          <w:b/>
          <w:bCs/>
          <w:sz w:val="24"/>
        </w:rPr>
        <w:t>及资金来源</w:t>
      </w:r>
      <w:bookmarkEnd w:id="77"/>
      <w:bookmarkEnd w:id="78"/>
    </w:p>
    <w:p w14:paraId="376900E3">
      <w:pPr>
        <w:tabs>
          <w:tab w:val="left" w:pos="420"/>
        </w:tabs>
        <w:spacing w:line="360" w:lineRule="auto"/>
        <w:ind w:firstLine="480" w:firstLineChars="200"/>
        <w:rPr>
          <w:rFonts w:hint="eastAsia" w:ascii="宋体" w:hAnsi="宋体" w:cs="宋体"/>
          <w:sz w:val="24"/>
        </w:rPr>
      </w:pPr>
      <w:r>
        <w:rPr>
          <w:rFonts w:hint="eastAsia" w:ascii="宋体" w:hAnsi="宋体" w:cs="宋体"/>
          <w:sz w:val="24"/>
        </w:rPr>
        <w:t>1</w:t>
      </w:r>
      <w:bookmarkStart w:id="79" w:name="OLE_LINK10"/>
      <w:r>
        <w:rPr>
          <w:rFonts w:hint="eastAsia" w:ascii="宋体" w:hAnsi="宋体" w:cs="宋体"/>
          <w:sz w:val="24"/>
        </w:rPr>
        <w:t>.</w:t>
      </w:r>
      <w:bookmarkEnd w:id="79"/>
      <w:r>
        <w:rPr>
          <w:rFonts w:hint="eastAsia" w:ascii="宋体" w:hAnsi="宋体" w:cs="宋体"/>
          <w:sz w:val="24"/>
        </w:rPr>
        <w:t>本范本是根据《中华人民共和国政府采购法》等相关法律、法规制订。</w:t>
      </w:r>
    </w:p>
    <w:p w14:paraId="5253D829">
      <w:pPr>
        <w:tabs>
          <w:tab w:val="left" w:pos="420"/>
        </w:tabs>
        <w:spacing w:line="360" w:lineRule="auto"/>
        <w:ind w:firstLine="480" w:firstLineChars="200"/>
        <w:rPr>
          <w:rFonts w:hint="eastAsia" w:ascii="宋体" w:hAnsi="宋体" w:cs="宋体"/>
          <w:sz w:val="24"/>
        </w:rPr>
      </w:pPr>
      <w:r>
        <w:rPr>
          <w:rFonts w:hint="eastAsia" w:ascii="宋体" w:hAnsi="宋体" w:cs="宋体"/>
          <w:sz w:val="24"/>
        </w:rPr>
        <w:t>2.本询价文件仅适用于本次询价采购所叙述的项目。</w:t>
      </w:r>
    </w:p>
    <w:p w14:paraId="7598729C">
      <w:pPr>
        <w:tabs>
          <w:tab w:val="left" w:pos="420"/>
        </w:tabs>
        <w:spacing w:line="360" w:lineRule="auto"/>
        <w:ind w:firstLine="480" w:firstLineChars="200"/>
        <w:rPr>
          <w:rFonts w:hint="eastAsia" w:ascii="宋体" w:hAnsi="宋体" w:cs="宋体"/>
          <w:sz w:val="24"/>
        </w:rPr>
      </w:pPr>
      <w:r>
        <w:rPr>
          <w:rFonts w:hint="eastAsia" w:ascii="宋体" w:hAnsi="宋体" w:cs="宋体"/>
          <w:sz w:val="24"/>
        </w:rPr>
        <w:t>3.资金来</w:t>
      </w:r>
      <w:r>
        <w:rPr>
          <w:rFonts w:hint="eastAsia" w:ascii="宋体" w:hAnsi="宋体" w:cs="宋体"/>
          <w:bCs/>
          <w:sz w:val="24"/>
        </w:rPr>
        <w:t>源：</w:t>
      </w:r>
      <w:r>
        <w:rPr>
          <w:rFonts w:hint="eastAsia" w:ascii="宋体" w:hAnsi="宋体" w:cs="宋体"/>
          <w:sz w:val="24"/>
        </w:rPr>
        <w:t>企业自筹。</w:t>
      </w:r>
    </w:p>
    <w:p w14:paraId="7471C314">
      <w:pPr>
        <w:spacing w:line="360" w:lineRule="auto"/>
        <w:ind w:firstLine="482" w:firstLineChars="200"/>
        <w:rPr>
          <w:rFonts w:hint="eastAsia" w:ascii="宋体" w:hAnsi="宋体" w:cs="宋体"/>
          <w:sz w:val="24"/>
        </w:rPr>
      </w:pPr>
      <w:r>
        <w:rPr>
          <w:rFonts w:hint="eastAsia" w:ascii="宋体" w:hAnsi="宋体" w:cs="宋体"/>
          <w:b/>
          <w:bCs/>
          <w:sz w:val="24"/>
        </w:rPr>
        <w:t>（二）供应商资格要求</w:t>
      </w:r>
      <w:r>
        <w:rPr>
          <w:rFonts w:hint="eastAsia" w:ascii="宋体" w:hAnsi="宋体" w:cs="宋体"/>
          <w:bCs/>
          <w:sz w:val="24"/>
        </w:rPr>
        <w:t>同询价公告</w:t>
      </w:r>
    </w:p>
    <w:p w14:paraId="4B55D292">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（三）询价费用</w:t>
      </w:r>
    </w:p>
    <w:p w14:paraId="367C121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供应商应承担所有与编写和提交询价文件有关的一切费用，不论询价的结果如何，询价人在任何情况下均无义务和责任承担这些费用。</w:t>
      </w:r>
    </w:p>
    <w:p w14:paraId="50CDE6A6">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（四）竞争性询价文件的注意事项</w:t>
      </w:r>
    </w:p>
    <w:p w14:paraId="06164B4B">
      <w:pPr>
        <w:tabs>
          <w:tab w:val="left" w:pos="420"/>
        </w:tabs>
        <w:spacing w:line="360" w:lineRule="auto"/>
        <w:ind w:firstLine="480" w:firstLineChars="200"/>
        <w:rPr>
          <w:rFonts w:hint="eastAsia" w:ascii="宋体" w:hAnsi="宋体" w:cs="宋体"/>
          <w:sz w:val="24"/>
        </w:rPr>
      </w:pPr>
      <w:r>
        <w:rPr>
          <w:rFonts w:hint="eastAsia" w:ascii="宋体" w:hAnsi="宋体" w:cs="宋体"/>
          <w:sz w:val="24"/>
        </w:rPr>
        <w:t>供应商应认真阅读和充分理解竞争性询价文件中所有的内容。如果其询价文件没有满足竞争性询价文件的有关要求，其风险由供应商自行承担。</w:t>
      </w:r>
    </w:p>
    <w:p w14:paraId="20533FAF">
      <w:pPr>
        <w:adjustRightInd w:val="0"/>
        <w:snapToGrid w:val="0"/>
        <w:spacing w:line="360" w:lineRule="auto"/>
        <w:jc w:val="center"/>
        <w:rPr>
          <w:rFonts w:hint="eastAsia" w:ascii="宋体" w:hAnsi="宋体" w:cs="宋体"/>
          <w:b/>
          <w:bCs/>
          <w:sz w:val="24"/>
        </w:rPr>
      </w:pPr>
      <w:bookmarkStart w:id="80" w:name="_Toc3961973"/>
      <w:bookmarkStart w:id="81" w:name="_Toc3195643"/>
      <w:r>
        <w:rPr>
          <w:rFonts w:hint="eastAsia" w:ascii="宋体" w:hAnsi="宋体" w:cs="宋体"/>
          <w:b/>
          <w:bCs/>
          <w:sz w:val="24"/>
        </w:rPr>
        <w:t>二、询价文件</w:t>
      </w:r>
      <w:bookmarkEnd w:id="80"/>
      <w:bookmarkEnd w:id="81"/>
    </w:p>
    <w:p w14:paraId="34BEE255">
      <w:pPr>
        <w:adjustRightInd w:val="0"/>
        <w:snapToGrid w:val="0"/>
        <w:spacing w:line="360" w:lineRule="auto"/>
        <w:ind w:firstLine="482" w:firstLineChars="200"/>
        <w:rPr>
          <w:rFonts w:hint="eastAsia" w:ascii="宋体" w:hAnsi="宋体" w:cs="宋体"/>
          <w:b/>
          <w:bCs/>
          <w:sz w:val="24"/>
        </w:rPr>
      </w:pPr>
      <w:bookmarkStart w:id="82" w:name="_Toc3195644"/>
      <w:bookmarkStart w:id="83" w:name="_Toc3961974"/>
      <w:r>
        <w:rPr>
          <w:rFonts w:hint="eastAsia" w:ascii="宋体" w:hAnsi="宋体" w:cs="宋体"/>
          <w:b/>
          <w:bCs/>
          <w:sz w:val="24"/>
        </w:rPr>
        <w:t>（一）询价文件构成</w:t>
      </w:r>
      <w:bookmarkEnd w:id="82"/>
      <w:bookmarkEnd w:id="83"/>
    </w:p>
    <w:p w14:paraId="19FDB4D7">
      <w:pPr>
        <w:adjustRightInd w:val="0"/>
        <w:snapToGrid w:val="0"/>
        <w:spacing w:line="360" w:lineRule="auto"/>
        <w:ind w:firstLine="480" w:firstLineChars="200"/>
        <w:rPr>
          <w:rFonts w:hint="eastAsia" w:ascii="宋体" w:hAnsi="宋体" w:cs="宋体"/>
          <w:bCs/>
          <w:sz w:val="24"/>
        </w:rPr>
      </w:pPr>
      <w:bookmarkStart w:id="84" w:name="_Toc3195645"/>
      <w:bookmarkStart w:id="85" w:name="_Toc3961975"/>
      <w:r>
        <w:rPr>
          <w:rFonts w:hint="eastAsia" w:ascii="宋体" w:hAnsi="宋体" w:cs="宋体"/>
          <w:sz w:val="24"/>
        </w:rPr>
        <w:t>1.询价文件包括：</w:t>
      </w:r>
      <w:bookmarkEnd w:id="84"/>
      <w:bookmarkEnd w:id="85"/>
    </w:p>
    <w:p w14:paraId="350F6D67">
      <w:pPr>
        <w:adjustRightInd w:val="0"/>
        <w:snapToGrid w:val="0"/>
        <w:spacing w:line="360" w:lineRule="auto"/>
        <w:ind w:firstLine="480" w:firstLineChars="200"/>
        <w:rPr>
          <w:rFonts w:hint="eastAsia" w:ascii="宋体" w:hAnsi="宋体" w:cs="宋体"/>
          <w:bCs/>
          <w:sz w:val="24"/>
        </w:rPr>
      </w:pPr>
      <w:bookmarkStart w:id="86" w:name="_Toc3195646"/>
      <w:bookmarkStart w:id="87" w:name="_Toc3961976"/>
      <w:r>
        <w:rPr>
          <w:rFonts w:hint="eastAsia" w:ascii="宋体" w:hAnsi="宋体" w:cs="宋体"/>
          <w:sz w:val="24"/>
        </w:rPr>
        <w:t>询价</w:t>
      </w:r>
      <w:bookmarkEnd w:id="86"/>
      <w:bookmarkEnd w:id="87"/>
      <w:r>
        <w:rPr>
          <w:rFonts w:hint="eastAsia" w:ascii="宋体" w:hAnsi="宋体" w:cs="宋体"/>
          <w:sz w:val="24"/>
        </w:rPr>
        <w:t>公告</w:t>
      </w:r>
    </w:p>
    <w:p w14:paraId="2BE4E55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第一章供应商须知及前附表</w:t>
      </w:r>
    </w:p>
    <w:p w14:paraId="073EAA5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第二章采购合同</w:t>
      </w:r>
    </w:p>
    <w:p w14:paraId="0A19E23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第三章项目需求及服务要求</w:t>
      </w:r>
    </w:p>
    <w:p w14:paraId="1E080F3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第四章询价文件格式</w:t>
      </w:r>
    </w:p>
    <w:p w14:paraId="363C12B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2.供应商应认真阅读询价文件中所有的事项、格式、条款、项目任务等要求。如果供应商没有按照询价文件要求提交全部资料或者询价文件没有对询价文件在各方面都作出实质性响应，其询价将被拒绝。</w:t>
      </w:r>
    </w:p>
    <w:p w14:paraId="39A69B45">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（二）询价文件的澄清</w:t>
      </w:r>
    </w:p>
    <w:p w14:paraId="479F870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任何要求对询价文件进行澄清的供应商，均通过邮箱发送，所有潜在供应商在询价截止时间前有义务在报名邮箱自行查询，无需回复确认。</w:t>
      </w:r>
    </w:p>
    <w:p w14:paraId="4E0BCCAB">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（三）询价文件的修改</w:t>
      </w:r>
    </w:p>
    <w:p w14:paraId="35B78DA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1.在询价截止时间前，询价人依法可主动的或在解答供应商提出的澄清问题时对询价文件进行修改。</w:t>
      </w:r>
    </w:p>
    <w:p w14:paraId="5DC1BE6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2.询价文件的修改均通过邮箱发送，所有潜在供应商在询价截止时间前有义务在报名邮箱自行查询，无需回复确认，否则因此影响询价活动的任何情况由供应商自行承担。</w:t>
      </w:r>
    </w:p>
    <w:p w14:paraId="6CB1FF2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3.为使供应商编写询价文件时，有充分时间对询价文件的修改部分进行研究，如有必要，询价人将依法延长询价截止时间。</w:t>
      </w:r>
    </w:p>
    <w:p w14:paraId="039692E7">
      <w:pPr>
        <w:adjustRightInd w:val="0"/>
        <w:snapToGrid w:val="0"/>
        <w:spacing w:line="360" w:lineRule="auto"/>
        <w:jc w:val="center"/>
        <w:rPr>
          <w:rFonts w:hint="eastAsia" w:ascii="宋体" w:hAnsi="宋体" w:cs="宋体"/>
          <w:b/>
          <w:bCs/>
          <w:sz w:val="24"/>
        </w:rPr>
      </w:pPr>
      <w:r>
        <w:rPr>
          <w:rFonts w:hint="eastAsia" w:ascii="宋体" w:hAnsi="宋体" w:cs="宋体"/>
          <w:b/>
          <w:bCs/>
          <w:sz w:val="24"/>
        </w:rPr>
        <w:t>三、询价文件的编制</w:t>
      </w:r>
    </w:p>
    <w:p w14:paraId="428E54A6">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（一）询价的语言</w:t>
      </w:r>
    </w:p>
    <w:p w14:paraId="69524F0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供应商提交的询价文件以及供应商与询价人就有关询价的所有往来函均应使用中文。</w:t>
      </w:r>
    </w:p>
    <w:p w14:paraId="15ADA605">
      <w:pPr>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（二）询价文件构成</w:t>
      </w:r>
    </w:p>
    <w:p w14:paraId="41C6BA5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供应商编写的询价文件应包括下列部分：</w:t>
      </w:r>
    </w:p>
    <w:p w14:paraId="7FE6D7F1">
      <w:pPr>
        <w:adjustRightInd w:val="0"/>
        <w:snapToGrid w:val="0"/>
        <w:spacing w:line="360" w:lineRule="auto"/>
        <w:ind w:firstLine="480" w:firstLineChars="200"/>
        <w:rPr>
          <w:rFonts w:hint="eastAsia" w:ascii="宋体" w:hAnsi="宋体" w:cs="宋体"/>
          <w:sz w:val="24"/>
        </w:rPr>
      </w:pPr>
      <w:bookmarkStart w:id="88" w:name="_Toc3195647"/>
      <w:bookmarkStart w:id="89" w:name="_Toc3961977"/>
      <w:r>
        <w:rPr>
          <w:rFonts w:hint="eastAsia" w:ascii="宋体" w:hAnsi="宋体" w:cs="宋体"/>
          <w:sz w:val="24"/>
        </w:rPr>
        <w:t>1.投标函；</w:t>
      </w:r>
      <w:bookmarkEnd w:id="88"/>
      <w:bookmarkEnd w:id="89"/>
    </w:p>
    <w:p w14:paraId="55F737EE">
      <w:pPr>
        <w:tabs>
          <w:tab w:val="left" w:pos="0"/>
        </w:tabs>
        <w:adjustRightInd w:val="0"/>
        <w:snapToGrid w:val="0"/>
        <w:spacing w:line="360" w:lineRule="auto"/>
        <w:ind w:firstLine="480" w:firstLineChars="200"/>
        <w:rPr>
          <w:rFonts w:ascii="宋体" w:cs="宋体"/>
          <w:sz w:val="24"/>
        </w:rPr>
      </w:pPr>
      <w:bookmarkStart w:id="90" w:name="_Toc3961978"/>
      <w:bookmarkStart w:id="91" w:name="_Toc3195648"/>
      <w:r>
        <w:rPr>
          <w:rFonts w:hint="eastAsia" w:ascii="宋体" w:cs="宋体"/>
          <w:sz w:val="24"/>
        </w:rPr>
        <w:t>2.投标报价表；</w:t>
      </w:r>
      <w:bookmarkEnd w:id="90"/>
      <w:bookmarkEnd w:id="91"/>
    </w:p>
    <w:p w14:paraId="08297736">
      <w:pPr>
        <w:adjustRightInd w:val="0"/>
        <w:snapToGrid w:val="0"/>
        <w:spacing w:line="360" w:lineRule="auto"/>
        <w:ind w:firstLine="480" w:firstLineChars="200"/>
        <w:rPr>
          <w:rFonts w:ascii="宋体" w:cs="宋体"/>
          <w:sz w:val="24"/>
        </w:rPr>
      </w:pPr>
      <w:bookmarkStart w:id="92" w:name="_Toc3195650"/>
      <w:bookmarkStart w:id="93" w:name="_Toc3961980"/>
      <w:r>
        <w:rPr>
          <w:rFonts w:ascii="宋体" w:cs="宋体"/>
          <w:sz w:val="24"/>
        </w:rPr>
        <w:t>3</w:t>
      </w:r>
      <w:r>
        <w:rPr>
          <w:rFonts w:hint="eastAsia" w:ascii="宋体" w:cs="宋体"/>
          <w:sz w:val="24"/>
        </w:rPr>
        <w:t>.项目需求和商务条款偏离表；</w:t>
      </w:r>
      <w:bookmarkEnd w:id="92"/>
      <w:bookmarkEnd w:id="93"/>
    </w:p>
    <w:p w14:paraId="39CF0C9D">
      <w:pPr>
        <w:adjustRightInd w:val="0"/>
        <w:snapToGrid w:val="0"/>
        <w:spacing w:line="360" w:lineRule="auto"/>
        <w:ind w:firstLine="480" w:firstLineChars="200"/>
        <w:rPr>
          <w:rFonts w:ascii="宋体" w:cs="宋体"/>
          <w:sz w:val="24"/>
        </w:rPr>
      </w:pPr>
      <w:bookmarkStart w:id="94" w:name="_Toc3961981"/>
      <w:bookmarkStart w:id="95" w:name="_Toc3195651"/>
      <w:r>
        <w:rPr>
          <w:rFonts w:ascii="宋体" w:cs="宋体"/>
          <w:sz w:val="24"/>
        </w:rPr>
        <w:t>4</w:t>
      </w:r>
      <w:r>
        <w:rPr>
          <w:rFonts w:hint="eastAsia" w:ascii="宋体" w:cs="宋体"/>
          <w:sz w:val="24"/>
        </w:rPr>
        <w:t>.资格证明文件：</w:t>
      </w:r>
      <w:bookmarkEnd w:id="94"/>
      <w:bookmarkEnd w:id="95"/>
    </w:p>
    <w:p w14:paraId="5723AD23">
      <w:pPr>
        <w:adjustRightInd w:val="0"/>
        <w:snapToGrid w:val="0"/>
        <w:spacing w:line="360" w:lineRule="auto"/>
        <w:ind w:firstLine="480" w:firstLineChars="200"/>
        <w:rPr>
          <w:rFonts w:ascii="宋体" w:cs="宋体"/>
          <w:sz w:val="24"/>
        </w:rPr>
      </w:pPr>
      <w:bookmarkStart w:id="96" w:name="_Toc3961982"/>
      <w:bookmarkStart w:id="97" w:name="_Toc3195652"/>
      <w:r>
        <w:rPr>
          <w:rFonts w:ascii="宋体" w:cs="宋体"/>
          <w:sz w:val="24"/>
        </w:rPr>
        <w:t>5</w:t>
      </w:r>
      <w:r>
        <w:rPr>
          <w:rFonts w:hint="eastAsia" w:ascii="宋体" w:cs="宋体"/>
          <w:sz w:val="24"/>
        </w:rPr>
        <w:t>.诚信承诺书；</w:t>
      </w:r>
      <w:bookmarkEnd w:id="96"/>
      <w:bookmarkEnd w:id="97"/>
    </w:p>
    <w:p w14:paraId="0EB60A35">
      <w:pPr>
        <w:adjustRightInd w:val="0"/>
        <w:snapToGrid w:val="0"/>
        <w:spacing w:line="360" w:lineRule="auto"/>
        <w:ind w:firstLine="480" w:firstLineChars="200"/>
        <w:rPr>
          <w:rFonts w:ascii="宋体" w:cs="宋体"/>
          <w:sz w:val="24"/>
        </w:rPr>
      </w:pPr>
      <w:bookmarkStart w:id="98" w:name="_Toc3195653"/>
      <w:bookmarkStart w:id="99" w:name="_Toc3961983"/>
      <w:r>
        <w:rPr>
          <w:rFonts w:ascii="宋体" w:cs="宋体"/>
          <w:sz w:val="24"/>
        </w:rPr>
        <w:t>6</w:t>
      </w:r>
      <w:r>
        <w:rPr>
          <w:rFonts w:hint="eastAsia" w:ascii="宋体" w:cs="宋体"/>
          <w:sz w:val="24"/>
        </w:rPr>
        <w:t>.其他；</w:t>
      </w:r>
      <w:bookmarkEnd w:id="98"/>
      <w:bookmarkEnd w:id="99"/>
    </w:p>
    <w:p w14:paraId="78B25BB5">
      <w:pPr>
        <w:adjustRightInd w:val="0"/>
        <w:snapToGrid w:val="0"/>
        <w:spacing w:line="360" w:lineRule="auto"/>
        <w:ind w:firstLine="480" w:firstLineChars="200"/>
        <w:rPr>
          <w:rFonts w:ascii="宋体" w:cs="宋体"/>
          <w:sz w:val="24"/>
        </w:rPr>
      </w:pPr>
      <w:bookmarkStart w:id="100" w:name="_Toc3961984"/>
      <w:bookmarkStart w:id="101" w:name="_Toc3195654"/>
      <w:r>
        <w:rPr>
          <w:rFonts w:ascii="宋体" w:cs="宋体"/>
          <w:sz w:val="24"/>
        </w:rPr>
        <w:t>7</w:t>
      </w:r>
      <w:r>
        <w:rPr>
          <w:rFonts w:hint="eastAsia" w:ascii="宋体" w:cs="宋体"/>
          <w:sz w:val="24"/>
        </w:rPr>
        <w:t>.供应商需说明的其他问题；</w:t>
      </w:r>
      <w:bookmarkEnd w:id="100"/>
      <w:bookmarkEnd w:id="101"/>
    </w:p>
    <w:p w14:paraId="6D752164">
      <w:pPr>
        <w:adjustRightInd w:val="0"/>
        <w:snapToGrid w:val="0"/>
        <w:spacing w:line="360" w:lineRule="auto"/>
        <w:ind w:firstLine="482" w:firstLineChars="200"/>
        <w:rPr>
          <w:rFonts w:hint="eastAsia" w:ascii="宋体" w:hAnsi="宋体" w:cs="宋体"/>
          <w:b/>
          <w:sz w:val="24"/>
        </w:rPr>
      </w:pPr>
      <w:bookmarkStart w:id="102" w:name="_Toc3961985"/>
      <w:bookmarkStart w:id="103" w:name="_Toc3195655"/>
      <w:r>
        <w:rPr>
          <w:rFonts w:hint="eastAsia" w:ascii="宋体" w:hAnsi="宋体" w:cs="宋体"/>
          <w:b/>
          <w:bCs/>
          <w:sz w:val="24"/>
        </w:rPr>
        <w:t>（三）询价函</w:t>
      </w:r>
      <w:bookmarkEnd w:id="102"/>
      <w:bookmarkEnd w:id="103"/>
    </w:p>
    <w:p w14:paraId="418EF63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供应商应完整地填写询价文件中的询价函格式和询价报价表及其附件。</w:t>
      </w:r>
    </w:p>
    <w:p w14:paraId="24892DD8">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（四）询价报价</w:t>
      </w:r>
    </w:p>
    <w:p w14:paraId="3DB08D5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1.供应商的询价文件，只</w:t>
      </w:r>
      <w:r>
        <w:rPr>
          <w:rFonts w:ascii="宋体" w:hAnsi="宋体" w:cs="宋体"/>
          <w:sz w:val="24"/>
        </w:rPr>
        <w:t>允许有一个方案、一个报价</w:t>
      </w:r>
      <w:r>
        <w:rPr>
          <w:rFonts w:hint="eastAsia" w:ascii="宋体" w:hAnsi="宋体" w:cs="宋体"/>
          <w:sz w:val="24"/>
        </w:rPr>
        <w:t>。否则，</w:t>
      </w:r>
      <w:r>
        <w:rPr>
          <w:rFonts w:ascii="宋体" w:hAnsi="宋体" w:cs="宋体"/>
          <w:sz w:val="24"/>
        </w:rPr>
        <w:t>多方案、多报价的</w:t>
      </w:r>
      <w:r>
        <w:rPr>
          <w:rFonts w:hint="eastAsia" w:ascii="宋体" w:hAnsi="宋体" w:cs="宋体"/>
          <w:sz w:val="24"/>
        </w:rPr>
        <w:t>询价文件</w:t>
      </w:r>
      <w:r>
        <w:rPr>
          <w:rFonts w:ascii="宋体" w:hAnsi="宋体" w:cs="宋体"/>
          <w:sz w:val="24"/>
        </w:rPr>
        <w:t>将不被接受。</w:t>
      </w:r>
    </w:p>
    <w:p w14:paraId="392AFC3A">
      <w:pPr>
        <w:adjustRightInd w:val="0"/>
        <w:snapToGrid w:val="0"/>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询价报价应包括：项目需求及服务要求中的各项服务及与本项目相关的一切费用；</w:t>
      </w:r>
    </w:p>
    <w:p w14:paraId="411B0AB2">
      <w:pPr>
        <w:adjustRightInd w:val="0"/>
        <w:snapToGrid w:val="0"/>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报价的价格在合同执行过程中是固定不变的，不得以任何理由予以变更。供应商在报价时应充分考虑本次招标的各种风险（包括漏项风险），在合同执行期间成交价不再实行政策性调整和变动。以可调整的价格提交的询价将作为非实质性响应询价而予以拒绝。</w:t>
      </w:r>
    </w:p>
    <w:p w14:paraId="45762F65">
      <w:pPr>
        <w:adjustRightInd w:val="0"/>
        <w:snapToGrid w:val="0"/>
        <w:spacing w:line="360" w:lineRule="auto"/>
        <w:ind w:firstLine="482" w:firstLineChars="200"/>
        <w:rPr>
          <w:rFonts w:hint="eastAsia" w:ascii="宋体" w:hAnsi="宋体" w:cs="宋体"/>
          <w:b/>
          <w:bCs/>
          <w:sz w:val="24"/>
        </w:rPr>
      </w:pPr>
      <w:bookmarkStart w:id="104" w:name="_Toc3961986"/>
      <w:bookmarkStart w:id="105" w:name="_Toc3195656"/>
      <w:r>
        <w:rPr>
          <w:rFonts w:hint="eastAsia" w:ascii="宋体" w:hAnsi="宋体" w:cs="宋体"/>
          <w:b/>
          <w:bCs/>
          <w:sz w:val="24"/>
        </w:rPr>
        <w:t>（五）询价货币</w:t>
      </w:r>
      <w:bookmarkEnd w:id="104"/>
      <w:bookmarkEnd w:id="105"/>
    </w:p>
    <w:p w14:paraId="620522A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询价报价采用人民币报价。</w:t>
      </w:r>
    </w:p>
    <w:p w14:paraId="7A0EA519">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（六）证明供应商资格合格的文件</w:t>
      </w:r>
    </w:p>
    <w:p w14:paraId="1EE0A0C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1.供应商应提交证明其有资格参加询价和成交后有能力履行合同的文件，并作为其询价文件的一部分。</w:t>
      </w:r>
    </w:p>
    <w:p w14:paraId="2A84AC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2.供应商提交的成交后有能力履行合同的资格证明文件应使询价人满意。</w:t>
      </w:r>
    </w:p>
    <w:p w14:paraId="3EEC3BD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（1）供应商必须具备履行合同所需的财务能力、技术能力；</w:t>
      </w:r>
    </w:p>
    <w:p w14:paraId="07BFDB0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（2）供应商应有能力履行合同条款中对所提供的服务所承担相应的义务。</w:t>
      </w:r>
    </w:p>
    <w:p w14:paraId="664373E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3.供应商应按询价文件格式要求填写并提交“资格证明文件”。</w:t>
      </w:r>
    </w:p>
    <w:p w14:paraId="44C2AAF4">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（七）证明服务的合格性和符合询价文件规定的文件</w:t>
      </w:r>
    </w:p>
    <w:p w14:paraId="7B252F66">
      <w:pPr>
        <w:adjustRightInd w:val="0"/>
        <w:snapToGrid w:val="0"/>
        <w:spacing w:line="360" w:lineRule="auto"/>
        <w:ind w:firstLine="480" w:firstLineChars="200"/>
        <w:rPr>
          <w:rFonts w:hint="eastAsia" w:ascii="宋体" w:hAnsi="宋体" w:cs="宋体"/>
          <w:sz w:val="24"/>
        </w:rPr>
      </w:pPr>
      <w:bookmarkStart w:id="106" w:name="_Toc3195657"/>
      <w:bookmarkStart w:id="107" w:name="_Toc3961987"/>
      <w:r>
        <w:rPr>
          <w:rFonts w:hint="eastAsia" w:ascii="宋体" w:hAnsi="宋体" w:cs="宋体"/>
          <w:sz w:val="24"/>
        </w:rPr>
        <w:t>1.供应商应提交本项目所有服务符合询价文件规定的证明文件，并作为其询价文件的一部分。</w:t>
      </w:r>
      <w:bookmarkEnd w:id="106"/>
      <w:bookmarkEnd w:id="107"/>
    </w:p>
    <w:p w14:paraId="5C98574F">
      <w:pPr>
        <w:adjustRightInd w:val="0"/>
        <w:snapToGrid w:val="0"/>
        <w:spacing w:line="360" w:lineRule="auto"/>
        <w:ind w:firstLine="480" w:firstLineChars="200"/>
        <w:rPr>
          <w:rFonts w:hint="eastAsia" w:ascii="宋体" w:hAnsi="宋体" w:cs="宋体"/>
          <w:sz w:val="24"/>
        </w:rPr>
      </w:pPr>
      <w:bookmarkStart w:id="108" w:name="_Toc3961988"/>
      <w:bookmarkStart w:id="109" w:name="_Toc3195658"/>
      <w:r>
        <w:rPr>
          <w:rFonts w:hint="eastAsia" w:ascii="宋体" w:hAnsi="宋体" w:cs="宋体"/>
          <w:sz w:val="24"/>
        </w:rPr>
        <w:t>2.证明服务与询价文件的要求相一致，文件可以是文字资料、图纸和数据。供应商应提供：</w:t>
      </w:r>
      <w:bookmarkEnd w:id="108"/>
      <w:bookmarkEnd w:id="109"/>
    </w:p>
    <w:p w14:paraId="5B5A6A42">
      <w:pPr>
        <w:adjustRightInd w:val="0"/>
        <w:snapToGrid w:val="0"/>
        <w:spacing w:line="360" w:lineRule="auto"/>
        <w:ind w:firstLine="480" w:firstLineChars="200"/>
        <w:rPr>
          <w:rFonts w:ascii="宋体" w:cs="宋体"/>
          <w:bCs/>
          <w:sz w:val="24"/>
        </w:rPr>
      </w:pPr>
      <w:r>
        <w:rPr>
          <w:rFonts w:hint="eastAsia" w:ascii="宋体" w:cs="宋体"/>
          <w:bCs/>
          <w:sz w:val="24"/>
        </w:rPr>
        <w:t>（1）服务内容和依据的详细说明；</w:t>
      </w:r>
    </w:p>
    <w:p w14:paraId="36AB49C8">
      <w:pPr>
        <w:adjustRightInd w:val="0"/>
        <w:snapToGrid w:val="0"/>
        <w:spacing w:line="360" w:lineRule="auto"/>
        <w:ind w:firstLine="480" w:firstLineChars="200"/>
        <w:rPr>
          <w:rFonts w:ascii="宋体" w:cs="宋体"/>
          <w:bCs/>
          <w:sz w:val="24"/>
        </w:rPr>
      </w:pPr>
      <w:r>
        <w:rPr>
          <w:rFonts w:hint="eastAsia" w:ascii="宋体" w:cs="宋体"/>
          <w:bCs/>
          <w:sz w:val="24"/>
        </w:rPr>
        <w:t>（2）项目需求和商务条款偏离表。</w:t>
      </w:r>
    </w:p>
    <w:p w14:paraId="643A5565">
      <w:pPr>
        <w:adjustRightInd w:val="0"/>
        <w:snapToGrid w:val="0"/>
        <w:spacing w:line="360" w:lineRule="auto"/>
        <w:ind w:firstLine="482" w:firstLineChars="200"/>
        <w:rPr>
          <w:rFonts w:hint="eastAsia" w:ascii="宋体" w:hAnsi="宋体" w:cs="宋体"/>
          <w:sz w:val="24"/>
        </w:rPr>
      </w:pPr>
      <w:bookmarkStart w:id="110" w:name="_Toc3195660"/>
      <w:bookmarkStart w:id="111" w:name="_Toc3961989"/>
      <w:r>
        <w:rPr>
          <w:rFonts w:hint="eastAsia" w:ascii="宋体" w:hAnsi="宋体" w:cs="宋体"/>
          <w:b/>
          <w:bCs/>
          <w:sz w:val="24"/>
        </w:rPr>
        <w:t>（八）询价有效期</w:t>
      </w:r>
      <w:bookmarkEnd w:id="110"/>
      <w:bookmarkEnd w:id="111"/>
    </w:p>
    <w:p w14:paraId="2CEAF86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1.所有询价应从开标之日起，90个日历日计算的询价有效期内有效。</w:t>
      </w:r>
    </w:p>
    <w:p w14:paraId="4D496DA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在特殊情况下，在原询价有效期期满之前，询价人可征得供应商同意延长询价有效期。这种要求和答复均应为书面形式（如传真等）。供应商可以拒绝询价人的这种要求。同意延长的供应商不允许修改其询价文件。</w:t>
      </w:r>
    </w:p>
    <w:p w14:paraId="15006368">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（九）询价文件的式样和签署</w:t>
      </w:r>
    </w:p>
    <w:p w14:paraId="4AF2480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1.供应商应按照询价文件要求，提交询价文件正本1份和副本</w:t>
      </w:r>
      <w:r>
        <w:rPr>
          <w:rFonts w:hint="eastAsia" w:ascii="宋体" w:hAnsi="宋体" w:cs="宋体"/>
          <w:sz w:val="24"/>
          <w:lang w:val="en-US" w:eastAsia="zh-CN"/>
        </w:rPr>
        <w:t>2</w:t>
      </w:r>
      <w:r>
        <w:rPr>
          <w:rFonts w:hint="eastAsia" w:ascii="宋体" w:hAnsi="宋体" w:cs="宋体"/>
          <w:sz w:val="24"/>
        </w:rPr>
        <w:t>份，每套询价文件须清楚地标明“正本”或“副本”。当正本和副本不符时，以正本为准。</w:t>
      </w:r>
    </w:p>
    <w:p w14:paraId="4BC2E83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2.供应商应在询价文件中加盖询价单位的公章（加盖询价单位的财务章、询价专用章或其他业务章视为无效询价文件）。</w:t>
      </w:r>
    </w:p>
    <w:p w14:paraId="0F52BF5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3.询价文件的正本和所有的副本均使用永不褪色的墨水工整书写或打印。</w:t>
      </w:r>
    </w:p>
    <w:p w14:paraId="7482A1F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4.除供应商对错处做必要修改外，询价文件不得行间插字、涂改和增删，如有修改，必须由供应商法定代表人或被授权人签字。</w:t>
      </w:r>
    </w:p>
    <w:p w14:paraId="528CD0F5">
      <w:pPr>
        <w:adjustRightInd w:val="0"/>
        <w:snapToGrid w:val="0"/>
        <w:spacing w:line="360" w:lineRule="auto"/>
        <w:jc w:val="center"/>
        <w:rPr>
          <w:rFonts w:hint="eastAsia" w:ascii="宋体" w:hAnsi="宋体" w:cs="宋体"/>
          <w:b/>
          <w:bCs/>
          <w:sz w:val="24"/>
        </w:rPr>
      </w:pPr>
      <w:bookmarkStart w:id="112" w:name="_Toc3961990"/>
      <w:bookmarkStart w:id="113" w:name="_Toc3195661"/>
      <w:r>
        <w:rPr>
          <w:rFonts w:hint="eastAsia" w:ascii="宋体" w:hAnsi="宋体" w:cs="宋体"/>
          <w:b/>
          <w:bCs/>
          <w:sz w:val="24"/>
        </w:rPr>
        <w:t>四、询价文件的递交</w:t>
      </w:r>
      <w:bookmarkEnd w:id="112"/>
      <w:bookmarkEnd w:id="113"/>
    </w:p>
    <w:p w14:paraId="7F391873">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（一）询价文件的密封和标记</w:t>
      </w:r>
    </w:p>
    <w:p w14:paraId="4C6BDEA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1.询价文件须按以下要求装袋密封：</w:t>
      </w:r>
    </w:p>
    <w:p w14:paraId="61487AD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询价文件正本和副本可封装一密封袋内。封口处应有供应商的公章。封皮上写明项目名称、供应商名称，并注明“开标前不得开封”字样。</w:t>
      </w:r>
    </w:p>
    <w:p w14:paraId="349E48D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2.如果信封未按本询价文件要求封装和标记，询价人对误投或过早启封概不负责。对由此造成提前开封的询价文件，询价人将予以拒绝，并退给供应商。</w:t>
      </w:r>
    </w:p>
    <w:p w14:paraId="375DA17F">
      <w:pPr>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（二）询价截止时间</w:t>
      </w:r>
    </w:p>
    <w:p w14:paraId="1E0957D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1.询价人收到询价文件的时间不得迟于“询价公告”中规定的开标时间。</w:t>
      </w:r>
    </w:p>
    <w:p w14:paraId="677C5AC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2.询价人可以通过修改询价文件依法延长询价截止时间。在此情况下，询价人和供应商受询价截止时间制约的所有权利和义务均应延长至新的截止时间。</w:t>
      </w:r>
    </w:p>
    <w:p w14:paraId="28B3658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3.若询价文件递交不足3家时，询价人可视其竞争性决定继续按原方式询价或重新组织询价。</w:t>
      </w:r>
    </w:p>
    <w:p w14:paraId="054BA339">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（三）迟交的询价文件</w:t>
      </w:r>
    </w:p>
    <w:p w14:paraId="41C182B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询价人将拒绝并原封退回在其规定的截止时间后收到的任何询价文件。</w:t>
      </w:r>
    </w:p>
    <w:p w14:paraId="37C1A657">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（四）询价文件的修改和撤回</w:t>
      </w:r>
    </w:p>
    <w:p w14:paraId="1B171FF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1.供应商在递交询价文件后、询价截止时间前修改或撤回其询价文件。但这种修改或撤销通知，须在询价截止时间前以书面形式交给询价人，该通知须有经正式授权的询价方代理人的签字。</w:t>
      </w:r>
    </w:p>
    <w:p w14:paraId="6132F23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2.供应商的修改或撤回通知书应按本询价文件中“</w:t>
      </w:r>
      <w:r>
        <w:rPr>
          <w:rFonts w:hint="eastAsia" w:ascii="宋体" w:hAnsi="宋体" w:cs="宋体"/>
          <w:bCs/>
          <w:sz w:val="24"/>
        </w:rPr>
        <w:t>询价文件的密封和标记”</w:t>
      </w:r>
      <w:r>
        <w:rPr>
          <w:rFonts w:hint="eastAsia" w:ascii="宋体" w:hAnsi="宋体" w:cs="宋体"/>
          <w:sz w:val="24"/>
        </w:rPr>
        <w:t>规定编制、密封、标记和递交，并应在封套上加注“修改”或“撤回”字样。</w:t>
      </w:r>
    </w:p>
    <w:p w14:paraId="7A8328D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3.在询价截止时间之后，供应商不得对其询价文件做任何修改。</w:t>
      </w:r>
    </w:p>
    <w:p w14:paraId="14C34396">
      <w:pPr>
        <w:adjustRightInd w:val="0"/>
        <w:snapToGrid w:val="0"/>
        <w:spacing w:line="360" w:lineRule="auto"/>
        <w:jc w:val="center"/>
        <w:rPr>
          <w:rFonts w:hint="eastAsia" w:ascii="宋体" w:hAnsi="宋体" w:cs="宋体"/>
          <w:b/>
          <w:bCs/>
          <w:sz w:val="24"/>
        </w:rPr>
      </w:pPr>
      <w:bookmarkStart w:id="114" w:name="_Toc3961991"/>
      <w:bookmarkStart w:id="115" w:name="_Toc3195662"/>
      <w:r>
        <w:rPr>
          <w:rFonts w:hint="eastAsia" w:ascii="宋体" w:hAnsi="宋体" w:cs="宋体"/>
          <w:b/>
          <w:bCs/>
          <w:sz w:val="24"/>
        </w:rPr>
        <w:t>五、询价与评审</w:t>
      </w:r>
      <w:bookmarkEnd w:id="114"/>
      <w:bookmarkEnd w:id="115"/>
    </w:p>
    <w:p w14:paraId="220485DF">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（一）询价</w:t>
      </w:r>
    </w:p>
    <w:p w14:paraId="22906E37">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1.询价人将于截止时间，在合肥市包河工业区西宁路16号（安徽交检交通发展研究中心有限责任公司四楼会议室）进行询价。供应商应由其法定代表人或被授权代表（出示</w:t>
      </w:r>
      <w:r>
        <w:rPr>
          <w:rFonts w:hint="eastAsia" w:ascii="宋体" w:hAnsi="宋体" w:cs="Arial"/>
          <w:sz w:val="24"/>
        </w:rPr>
        <w:t>身份证）参与询价，在询价截止开始前递交了询价文件。</w:t>
      </w:r>
    </w:p>
    <w:p w14:paraId="19E1024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2.提交了可接受的“撤回”通知的询价文件将不予开封。</w:t>
      </w:r>
    </w:p>
    <w:p w14:paraId="682156E0">
      <w:pPr>
        <w:tabs>
          <w:tab w:val="left" w:pos="900"/>
        </w:tabs>
        <w:spacing w:line="360" w:lineRule="auto"/>
        <w:ind w:firstLine="480" w:firstLineChars="200"/>
        <w:jc w:val="left"/>
        <w:rPr>
          <w:rFonts w:hint="eastAsia" w:ascii="宋体" w:hAnsi="宋体" w:cs="Arial"/>
          <w:sz w:val="24"/>
        </w:rPr>
      </w:pPr>
      <w:r>
        <w:rPr>
          <w:rFonts w:hint="eastAsia" w:ascii="宋体" w:hAnsi="宋体" w:cs="Arial"/>
          <w:sz w:val="24"/>
        </w:rPr>
        <w:t>3.开标时，询价人将会同询价人监督人员共同检查询价文件是否按询价文件的要求进行密封和标记并同时在密封检查表上签字确认。采用邮寄询价文件或未到场的视为认可开标结果。</w:t>
      </w:r>
    </w:p>
    <w:p w14:paraId="620EBD98">
      <w:pPr>
        <w:tabs>
          <w:tab w:val="left" w:pos="900"/>
        </w:tabs>
        <w:spacing w:line="360" w:lineRule="auto"/>
        <w:ind w:firstLine="480" w:firstLineChars="200"/>
        <w:jc w:val="left"/>
        <w:rPr>
          <w:rFonts w:hint="eastAsia" w:ascii="宋体" w:hAnsi="宋体" w:cs="Arial"/>
          <w:sz w:val="24"/>
        </w:rPr>
      </w:pPr>
      <w:r>
        <w:rPr>
          <w:rFonts w:hint="eastAsia" w:ascii="宋体" w:hAnsi="宋体" w:cs="Arial"/>
          <w:sz w:val="24"/>
        </w:rPr>
        <w:t>4.评审小组是按规定组成的三人或三人以上（单数）的评审小组。</w:t>
      </w:r>
    </w:p>
    <w:p w14:paraId="6A8C5179">
      <w:pPr>
        <w:tabs>
          <w:tab w:val="left" w:pos="900"/>
        </w:tabs>
        <w:spacing w:line="360" w:lineRule="auto"/>
        <w:ind w:firstLine="480" w:firstLineChars="200"/>
        <w:jc w:val="left"/>
        <w:rPr>
          <w:rFonts w:hint="eastAsia" w:ascii="宋体" w:hAnsi="宋体" w:cs="Arial"/>
          <w:sz w:val="24"/>
        </w:rPr>
      </w:pPr>
      <w:bookmarkStart w:id="116" w:name="_Hlk196298754"/>
      <w:r>
        <w:rPr>
          <w:rFonts w:ascii="宋体" w:hAnsi="宋体" w:cs="Arial"/>
          <w:sz w:val="24"/>
        </w:rPr>
        <w:t>5.</w:t>
      </w:r>
      <w:r>
        <w:rPr>
          <w:rFonts w:hint="eastAsia" w:ascii="宋体" w:hAnsi="宋体" w:cs="Arial"/>
          <w:sz w:val="24"/>
        </w:rPr>
        <w:t>评审</w:t>
      </w:r>
      <w:bookmarkEnd w:id="116"/>
      <w:r>
        <w:rPr>
          <w:rFonts w:hint="eastAsia" w:ascii="宋体" w:hAnsi="宋体" w:cs="Arial"/>
          <w:sz w:val="24"/>
        </w:rPr>
        <w:t>小组依据申请人的资格对响应文件进行评审。有一项不符合评审标准的，评审小组应否决其响应文件。</w:t>
      </w:r>
    </w:p>
    <w:p w14:paraId="241E8652">
      <w:pPr>
        <w:tabs>
          <w:tab w:val="left" w:pos="900"/>
        </w:tabs>
        <w:spacing w:line="360" w:lineRule="auto"/>
        <w:ind w:firstLine="480" w:firstLineChars="200"/>
        <w:jc w:val="left"/>
        <w:rPr>
          <w:rFonts w:hint="eastAsia" w:ascii="宋体" w:hAnsi="宋体" w:cs="Arial"/>
          <w:sz w:val="24"/>
        </w:rPr>
      </w:pPr>
      <w:r>
        <w:rPr>
          <w:rFonts w:ascii="宋体" w:hAnsi="宋体" w:cs="Arial"/>
          <w:sz w:val="24"/>
        </w:rPr>
        <w:t>6.</w:t>
      </w:r>
      <w:r>
        <w:rPr>
          <w:rFonts w:hint="eastAsia" w:ascii="宋体" w:hAnsi="宋体" w:cs="Arial"/>
          <w:sz w:val="24"/>
        </w:rPr>
        <w:t>报价文件中填报的报价、服务期、质量标准前后不一致时，按细微偏差处理，并以报价函填报的为准。</w:t>
      </w:r>
    </w:p>
    <w:p w14:paraId="4213B8D4">
      <w:pPr>
        <w:tabs>
          <w:tab w:val="left" w:pos="900"/>
        </w:tabs>
        <w:spacing w:line="360" w:lineRule="auto"/>
        <w:ind w:firstLine="482" w:firstLineChars="200"/>
        <w:jc w:val="left"/>
        <w:rPr>
          <w:rFonts w:hint="eastAsia" w:ascii="宋体" w:hAnsi="宋体" w:cs="宋体"/>
          <w:b/>
          <w:bCs/>
          <w:sz w:val="24"/>
        </w:rPr>
      </w:pPr>
      <w:r>
        <w:rPr>
          <w:rFonts w:hint="eastAsia" w:ascii="宋体" w:hAnsi="宋体" w:cs="宋体"/>
          <w:b/>
          <w:bCs/>
          <w:sz w:val="24"/>
        </w:rPr>
        <w:t>（二）评审小组的组成</w:t>
      </w:r>
    </w:p>
    <w:p w14:paraId="09A669F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1.本项目依法组建评审小组。</w:t>
      </w:r>
    </w:p>
    <w:p w14:paraId="503C177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2.评审小组</w:t>
      </w:r>
      <w:r>
        <w:rPr>
          <w:rFonts w:hint="eastAsia" w:ascii="宋体" w:hAnsi="宋体" w:cs="Arial"/>
          <w:sz w:val="24"/>
        </w:rPr>
        <w:t>按规定组成的三人或三人以上（单数）的评审小组，</w:t>
      </w:r>
      <w:r>
        <w:rPr>
          <w:rFonts w:hint="eastAsia" w:ascii="宋体" w:hAnsi="宋体" w:cs="宋体"/>
          <w:sz w:val="24"/>
        </w:rPr>
        <w:t>由</w:t>
      </w:r>
      <w:r>
        <w:rPr>
          <w:rFonts w:hint="eastAsia" w:ascii="宋体" w:hAnsi="宋体" w:cs="宋体"/>
          <w:kern w:val="0"/>
          <w:sz w:val="24"/>
        </w:rPr>
        <w:t>询价人</w:t>
      </w:r>
      <w:r>
        <w:rPr>
          <w:rFonts w:hint="eastAsia" w:ascii="宋体" w:hAnsi="宋体" w:cs="宋体"/>
          <w:sz w:val="24"/>
        </w:rPr>
        <w:t>随机抽取的有关方面的专家组成。</w:t>
      </w:r>
    </w:p>
    <w:p w14:paraId="2C5D68A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3.与供应商有利害关系的人不得进入评审小组。</w:t>
      </w:r>
    </w:p>
    <w:p w14:paraId="1683C301">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（三）询价过程的保密性</w:t>
      </w:r>
    </w:p>
    <w:p w14:paraId="57DCC10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1.开标后，直至向成交候选人授予合同时止，凡与审查、澄清、评价和比较询价有关的资料以及授标意见等，均不得向供应商及与评标无关的其他人员透露。</w:t>
      </w:r>
    </w:p>
    <w:p w14:paraId="4AE5DDD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2.在评审过程中，供应商试图影响询价人在询价文件审查、澄清、比较及授予合同方面的任何尝试，可能导致该供应商的询价被废除。</w:t>
      </w:r>
    </w:p>
    <w:p w14:paraId="6F7C7910">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（四）询价文件的澄清</w:t>
      </w:r>
    </w:p>
    <w:p w14:paraId="153D539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为有助于对询价文件的审查、评价和比较，评审小组可分别要求供应商对其询价文件进行澄清，有关澄清的要求和答复应以书面形式提交，但不得寻求或允许对询价价格或实质性内容做任何更改。</w:t>
      </w:r>
    </w:p>
    <w:p w14:paraId="6CBCE6ED">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（五）询价文件的审查</w:t>
      </w:r>
    </w:p>
    <w:p w14:paraId="25F403D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1.开标后，评审小组将审查询价文件是否完整，有无计算错误，文件签署是否合格，询价文件是否大体编排有序。</w:t>
      </w:r>
    </w:p>
    <w:p w14:paraId="1D441EC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2.询价文件有下列情况之一的，询价文件无效：</w:t>
      </w:r>
    </w:p>
    <w:p w14:paraId="595CAF2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（1）询价文件未装订、密封，未按询价文件要求予以盖章、签署、标注的；</w:t>
      </w:r>
    </w:p>
    <w:p w14:paraId="53B91BC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（2）询价文件未按规定填写，内容不全或字迹模糊、难以辨认的；</w:t>
      </w:r>
    </w:p>
    <w:p w14:paraId="7F6A7CB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（3）询价文件未按规定签字、盖章的；询价文件无法定代表人授权书的；</w:t>
      </w:r>
    </w:p>
    <w:p w14:paraId="3340B01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（4）有两个以上不同的询价报价，且未注明何者有效的；</w:t>
      </w:r>
    </w:p>
    <w:p w14:paraId="53B009D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（5）项目服务时间超出询价文件规定的；</w:t>
      </w:r>
    </w:p>
    <w:p w14:paraId="237672B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（6）询价文件逾期送达的；</w:t>
      </w:r>
    </w:p>
    <w:p w14:paraId="121CC39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（7）供应商法定代表人（或被授权人）未参加开标会议且明确表示不认可询价结果的；</w:t>
      </w:r>
    </w:p>
    <w:p w14:paraId="7488F051">
      <w:pPr>
        <w:spacing w:line="360" w:lineRule="auto"/>
        <w:ind w:firstLine="480" w:firstLineChars="200"/>
        <w:rPr>
          <w:rFonts w:hint="eastAsia" w:ascii="宋体" w:hAnsi="宋体" w:cs="宋体"/>
          <w:kern w:val="18"/>
          <w:sz w:val="24"/>
        </w:rPr>
      </w:pPr>
      <w:r>
        <w:rPr>
          <w:rFonts w:hint="eastAsia" w:ascii="宋体" w:hAnsi="宋体" w:cs="宋体"/>
          <w:sz w:val="24"/>
        </w:rPr>
        <w:t>（8）</w:t>
      </w:r>
      <w:r>
        <w:rPr>
          <w:rFonts w:hint="eastAsia" w:ascii="宋体" w:hAnsi="宋体" w:cs="宋体"/>
          <w:kern w:val="18"/>
          <w:sz w:val="24"/>
        </w:rPr>
        <w:t>有作假行为，提供虚假业绩、获奖证书等证明资料的；</w:t>
      </w:r>
    </w:p>
    <w:p w14:paraId="4478398E">
      <w:pPr>
        <w:spacing w:line="360" w:lineRule="auto"/>
        <w:ind w:firstLine="480" w:firstLineChars="200"/>
        <w:rPr>
          <w:rFonts w:hint="eastAsia" w:ascii="宋体" w:hAnsi="宋体" w:cs="宋体"/>
          <w:sz w:val="24"/>
        </w:rPr>
      </w:pPr>
      <w:r>
        <w:rPr>
          <w:rFonts w:hint="eastAsia" w:ascii="宋体" w:hAnsi="宋体" w:cs="宋体"/>
          <w:sz w:val="24"/>
        </w:rPr>
        <w:t>（9）附有不合理的条件的；</w:t>
      </w:r>
    </w:p>
    <w:p w14:paraId="5344C63D">
      <w:pPr>
        <w:spacing w:line="360" w:lineRule="auto"/>
        <w:ind w:firstLine="480" w:firstLineChars="200"/>
        <w:rPr>
          <w:rFonts w:hint="eastAsia" w:ascii="宋体" w:hAnsi="宋体" w:cs="宋体"/>
          <w:sz w:val="24"/>
        </w:rPr>
      </w:pPr>
      <w:r>
        <w:rPr>
          <w:rFonts w:hint="eastAsia" w:ascii="宋体" w:hAnsi="宋体" w:cs="宋体"/>
          <w:sz w:val="24"/>
        </w:rPr>
        <w:t>（10）询价资格不符合询价文件要求或未按询价文件要求提供资格证明文件的；</w:t>
      </w:r>
    </w:p>
    <w:p w14:paraId="10760135">
      <w:pPr>
        <w:spacing w:line="360" w:lineRule="auto"/>
        <w:ind w:firstLine="480" w:firstLineChars="200"/>
        <w:rPr>
          <w:rFonts w:hint="eastAsia" w:ascii="宋体" w:hAnsi="宋体" w:cs="宋体"/>
          <w:sz w:val="24"/>
        </w:rPr>
      </w:pPr>
      <w:r>
        <w:rPr>
          <w:rFonts w:hint="eastAsia" w:ascii="宋体" w:hAnsi="宋体" w:cs="宋体"/>
          <w:sz w:val="24"/>
        </w:rPr>
        <w:t>（11）供应商所提供服务在服务项目和服务内容等方面实质上不响应项目需求及服务要求的；</w:t>
      </w:r>
    </w:p>
    <w:p w14:paraId="1A190913">
      <w:pPr>
        <w:spacing w:line="360" w:lineRule="auto"/>
        <w:ind w:firstLine="480" w:firstLineChars="200"/>
        <w:rPr>
          <w:rFonts w:hint="eastAsia" w:ascii="宋体" w:hAnsi="宋体" w:cs="宋体"/>
          <w:sz w:val="24"/>
        </w:rPr>
      </w:pPr>
      <w:r>
        <w:rPr>
          <w:rFonts w:hint="eastAsia" w:ascii="宋体" w:hAnsi="宋体" w:cs="宋体"/>
          <w:sz w:val="24"/>
        </w:rPr>
        <w:t>（12）不符合法律法规及询价文件规定的其他实质性要求的。</w:t>
      </w:r>
    </w:p>
    <w:p w14:paraId="4D7DE7E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3.在详细评标之前，评审小组要审查每份询价文件是否实质上响应了询价文件的要求。实质上响应的询价文件应该是与询价文件要求的全部实质性条款、条件和规格相符，没有重大偏离或保留的询价。</w:t>
      </w:r>
    </w:p>
    <w:p w14:paraId="723780F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4.如果询价文件实质上没有响应询价文件的要求，评审小组将予以拒绝，供应商不得通过修正或撤销不合要求的偏离或保留从而使其询价成为实质上响应的询价。</w:t>
      </w:r>
    </w:p>
    <w:p w14:paraId="565C101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5.评审小组将对确定为实质上响应的询价进行审核，看其是否有计算上和累加上的算术错误，修正错误的原则如下：</w:t>
      </w:r>
    </w:p>
    <w:p w14:paraId="24E367A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（1）如果询价文件的大写金额和小写金额不一致的，以大写金额为准；</w:t>
      </w:r>
    </w:p>
    <w:p w14:paraId="430D3FB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（2）当总价金额与按单价汇总金额不一致的，以单价金额计算结果为准；</w:t>
      </w:r>
    </w:p>
    <w:p w14:paraId="6E51866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（3）当单价金额小数点有明显错位的，应以总价为准，并修改单价；</w:t>
      </w:r>
    </w:p>
    <w:p w14:paraId="489ED99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6.评审小组将按上述修正错误的方法调整询价文件中的询价报价，调整后的价格对供应商具有约束力。如果供应商不接受修正后的价格，则其询价将被拒绝。</w:t>
      </w:r>
    </w:p>
    <w:p w14:paraId="110F49F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7.评审小组将允许修正询价文件中不构成重大偏差的、微小的、非正规的、不一致的或不规则的地方，但这些修正不能影响任何供应商相应的名次排序。</w:t>
      </w:r>
    </w:p>
    <w:p w14:paraId="12950164">
      <w:pPr>
        <w:spacing w:line="360" w:lineRule="auto"/>
        <w:ind w:firstLine="482" w:firstLineChars="200"/>
        <w:rPr>
          <w:rFonts w:hint="eastAsia" w:ascii="宋体" w:hAnsi="宋体" w:cs="宋体"/>
          <w:b/>
          <w:bCs/>
          <w:sz w:val="24"/>
        </w:rPr>
      </w:pPr>
      <w:r>
        <w:rPr>
          <w:rFonts w:hint="eastAsia" w:ascii="宋体" w:hAnsi="宋体" w:cs="宋体"/>
          <w:b/>
          <w:bCs/>
          <w:sz w:val="24"/>
        </w:rPr>
        <w:t>（六）响应文件评审与询价</w:t>
      </w:r>
    </w:p>
    <w:p w14:paraId="7963147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1.询价文件是评标工作的重要依据。供应商的响应文件必须满足询价文件的各项要求：包括响应文件的有效性、完整性和与询价文件的一致性。</w:t>
      </w:r>
    </w:p>
    <w:p w14:paraId="69143F5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2.评标应严格按照《中华人民共和国政府采购法》等法律法规规定的评标要求，以及询价文件的要求进行。</w:t>
      </w:r>
    </w:p>
    <w:p w14:paraId="48CDE17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3.对所有供应商的评价、评估，都采用相同的程序和标准，遵循公开、公平、公正的原则。</w:t>
      </w:r>
    </w:p>
    <w:p w14:paraId="1D4F604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4.本项目的评标办法采用经评审的最低投标价法。</w:t>
      </w:r>
    </w:p>
    <w:p w14:paraId="092E7485">
      <w:pPr>
        <w:spacing w:line="360" w:lineRule="auto"/>
        <w:ind w:firstLine="482" w:firstLineChars="200"/>
        <w:rPr>
          <w:rFonts w:hint="eastAsia" w:ascii="宋体" w:hAnsi="宋体" w:cs="宋体"/>
          <w:b/>
          <w:bCs/>
          <w:sz w:val="24"/>
        </w:rPr>
      </w:pPr>
      <w:r>
        <w:rPr>
          <w:rFonts w:hint="eastAsia" w:ascii="宋体" w:hAnsi="宋体" w:cs="宋体"/>
          <w:b/>
          <w:bCs/>
          <w:sz w:val="24"/>
        </w:rPr>
        <w:t>（七）成交候选人的推荐</w:t>
      </w:r>
    </w:p>
    <w:p w14:paraId="5638C02C">
      <w:pPr>
        <w:spacing w:line="360" w:lineRule="auto"/>
        <w:ind w:firstLine="480" w:firstLineChars="200"/>
        <w:rPr>
          <w:rFonts w:hint="eastAsia" w:ascii="宋体" w:hAnsi="宋体" w:cs="宋体"/>
          <w:sz w:val="24"/>
        </w:rPr>
      </w:pPr>
      <w:r>
        <w:rPr>
          <w:rFonts w:hint="eastAsia" w:ascii="宋体" w:hAnsi="宋体" w:cs="宋体"/>
          <w:sz w:val="24"/>
        </w:rPr>
        <w:t>1.评审小组根据评标办法，评审完成后评审小组提交书面评审报告和成交候选人名单。评审小组推荐成交候选人的人数为：1家。</w:t>
      </w:r>
    </w:p>
    <w:p w14:paraId="5A31381E">
      <w:pPr>
        <w:spacing w:line="360" w:lineRule="auto"/>
        <w:ind w:firstLine="482" w:firstLineChars="200"/>
        <w:rPr>
          <w:rFonts w:hint="eastAsia" w:ascii="宋体" w:hAnsi="宋体" w:cs="宋体"/>
          <w:b/>
          <w:bCs/>
          <w:sz w:val="24"/>
        </w:rPr>
      </w:pPr>
      <w:r>
        <w:rPr>
          <w:rFonts w:hint="eastAsia" w:ascii="宋体" w:hAnsi="宋体" w:cs="宋体"/>
          <w:b/>
          <w:bCs/>
          <w:sz w:val="24"/>
        </w:rPr>
        <w:t>（八）定标</w:t>
      </w:r>
    </w:p>
    <w:p w14:paraId="2D42B276">
      <w:pPr>
        <w:spacing w:line="360" w:lineRule="auto"/>
        <w:ind w:firstLine="480" w:firstLineChars="200"/>
        <w:rPr>
          <w:rFonts w:hint="eastAsia" w:ascii="宋体" w:hAnsi="宋体" w:cs="宋体"/>
          <w:sz w:val="24"/>
        </w:rPr>
      </w:pPr>
      <w:r>
        <w:rPr>
          <w:rFonts w:hint="eastAsia" w:ascii="宋体" w:hAnsi="宋体" w:cs="宋体"/>
          <w:sz w:val="24"/>
        </w:rPr>
        <w:t>成交的标准</w:t>
      </w:r>
    </w:p>
    <w:p w14:paraId="72C5315B">
      <w:pPr>
        <w:spacing w:line="360" w:lineRule="auto"/>
        <w:ind w:firstLine="480" w:firstLineChars="200"/>
        <w:rPr>
          <w:rFonts w:hint="eastAsia" w:ascii="宋体" w:hAnsi="宋体" w:cs="宋体"/>
          <w:sz w:val="24"/>
        </w:rPr>
      </w:pPr>
      <w:r>
        <w:rPr>
          <w:rFonts w:hint="eastAsia" w:ascii="宋体" w:hAnsi="宋体" w:cs="宋体"/>
          <w:sz w:val="24"/>
        </w:rPr>
        <w:t>1.评审小组将根据评审原则推荐供应商为成交候选人，询价人将依据评审小组评审意见确定成交人；</w:t>
      </w:r>
    </w:p>
    <w:p w14:paraId="12035DC2">
      <w:pPr>
        <w:spacing w:line="360" w:lineRule="auto"/>
        <w:ind w:firstLine="480" w:firstLineChars="200"/>
        <w:rPr>
          <w:rFonts w:hint="eastAsia" w:ascii="宋体" w:hAnsi="宋体" w:cs="宋体"/>
          <w:sz w:val="24"/>
        </w:rPr>
      </w:pPr>
      <w:r>
        <w:rPr>
          <w:rFonts w:hint="eastAsia" w:ascii="宋体" w:hAnsi="宋体" w:cs="宋体"/>
          <w:sz w:val="24"/>
        </w:rPr>
        <w:t>2.具有良好的履行合同的能力和条件；</w:t>
      </w:r>
    </w:p>
    <w:p w14:paraId="26308BF5">
      <w:pPr>
        <w:spacing w:line="360" w:lineRule="auto"/>
        <w:ind w:firstLine="480" w:firstLineChars="200"/>
        <w:rPr>
          <w:rFonts w:hint="eastAsia" w:ascii="宋体" w:hAnsi="宋体" w:cs="宋体"/>
          <w:sz w:val="24"/>
        </w:rPr>
      </w:pPr>
      <w:r>
        <w:rPr>
          <w:rFonts w:hint="eastAsia" w:ascii="宋体" w:hAnsi="宋体" w:cs="宋体"/>
          <w:sz w:val="24"/>
        </w:rPr>
        <w:t>3.保证质量、保证服务时间，按照询价文件要求提供售后服务。</w:t>
      </w:r>
    </w:p>
    <w:p w14:paraId="2F75FD7D">
      <w:pPr>
        <w:adjustRightInd w:val="0"/>
        <w:snapToGrid w:val="0"/>
        <w:spacing w:line="360" w:lineRule="auto"/>
        <w:jc w:val="center"/>
        <w:rPr>
          <w:rFonts w:hint="eastAsia" w:ascii="宋体" w:hAnsi="宋体" w:cs="宋体"/>
          <w:b/>
          <w:bCs/>
          <w:sz w:val="24"/>
        </w:rPr>
      </w:pPr>
      <w:r>
        <w:rPr>
          <w:rFonts w:hint="eastAsia" w:ascii="宋体" w:hAnsi="宋体" w:cs="宋体"/>
          <w:b/>
          <w:bCs/>
          <w:sz w:val="24"/>
        </w:rPr>
        <w:t>六、授予合同</w:t>
      </w:r>
    </w:p>
    <w:p w14:paraId="5C8A62D3">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（一）合同授予标准</w:t>
      </w:r>
    </w:p>
    <w:p w14:paraId="43FE1E4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询价人应将合同授予被确定为实质上响应询价文件要求的，能够圆满地履行合同义务的成交候选人。</w:t>
      </w:r>
    </w:p>
    <w:p w14:paraId="06DB8925">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（二）资格后审</w:t>
      </w:r>
    </w:p>
    <w:p w14:paraId="2F2908A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如果询价人认为有必要对成交候选人履行合同能力进行确认，可以进行资格后审，包括实地考察或要求其提供相关证明资料。如果询价人对成交候选人资格后审后认为其无履行合同能力，可以提请评审小组进行复会审议。</w:t>
      </w:r>
    </w:p>
    <w:p w14:paraId="543D37E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2.上述审查将考虑成交候选人的财务、技术能力并基于成交候选人按规定提供的资格审查的证明文件以及询价人认为必要的和合适的其他资料。</w:t>
      </w:r>
    </w:p>
    <w:p w14:paraId="4B962E7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3.如果有必要，询价人可对成交候选人进行技术询问，或对其所选服务、完成的项目进行考察。</w:t>
      </w:r>
    </w:p>
    <w:p w14:paraId="5B82A3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4．询价人还可以对成交候选人同类项目有关价格进行考察。如果在质量和服务要求相同的不同项目中，相同的服务价格偏差很大，询价人有权利质疑和询问，并提请评审小组进行复会审议。</w:t>
      </w:r>
    </w:p>
    <w:p w14:paraId="3DD90EC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5.如果成交候选人被确认为无能力履行合同，将被取消其成交候选人资格。</w:t>
      </w:r>
    </w:p>
    <w:p w14:paraId="4B19A0A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6.在成交候选人被确认为无能力履行合同，并被取消其成交人资格的情况下，评审小组将重新推荐成交候选人或由询价人重新组织采购。</w:t>
      </w:r>
    </w:p>
    <w:p w14:paraId="3135A3ED">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（三）成交通知书</w:t>
      </w:r>
    </w:p>
    <w:p w14:paraId="71DE92D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1.询价人应当在规定时间内询价人提交招标、开标、评标、定标过程有关文件资料、评标报告、成交人的询价文件等备案资料。</w:t>
      </w:r>
    </w:p>
    <w:p w14:paraId="02B4107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成交通知书由询价人应当在公示期结束后的3个工作日内向成交人发出成交通知书。成交通知书对询价人和成交人具有法律效力。成交通知书发出后，询价人改变成交结果的，或者成交人放弃成交的，应当依法承担法律责任。</w:t>
      </w:r>
    </w:p>
    <w:p w14:paraId="50E91886">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（四）履约担保及签订合同</w:t>
      </w:r>
    </w:p>
    <w:p w14:paraId="195E9E5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1.成交人在收到成交通知书后5个日历日内与询价人签订书面合同，在签订合同前按须知附表的规定递交履约担保。询价文件、成交人的询价文件及评标过程中有关澄清、承诺等文件均作为该书面合同的附件。</w:t>
      </w:r>
    </w:p>
    <w:p w14:paraId="5DEDD31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2.如果成交人没有按照本询价文件要求的时间签订合同，将取消其成交资格，在此情况下评审小组可依序推荐其他候选人或由询价人重新组织采购。</w:t>
      </w:r>
    </w:p>
    <w:p w14:paraId="07C7DE85">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（五）询价人服务费</w:t>
      </w:r>
    </w:p>
    <w:p w14:paraId="19B03A8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1.招标代理服务费：</w:t>
      </w:r>
      <w:r>
        <w:rPr>
          <w:rFonts w:hint="eastAsia" w:ascii="宋体" w:hAnsi="宋体" w:cs="宋体"/>
          <w:b/>
          <w:sz w:val="24"/>
        </w:rPr>
        <w:t>无。</w:t>
      </w:r>
    </w:p>
    <w:p w14:paraId="18C23F50">
      <w:pPr>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（六）其他注意事项：</w:t>
      </w:r>
    </w:p>
    <w:p w14:paraId="6F03939C">
      <w:pPr>
        <w:tabs>
          <w:tab w:val="left" w:pos="720"/>
        </w:tabs>
        <w:snapToGrid w:val="0"/>
        <w:spacing w:line="360" w:lineRule="auto"/>
        <w:ind w:firstLine="480" w:firstLineChars="200"/>
        <w:rPr>
          <w:rFonts w:hint="eastAsia" w:ascii="宋体" w:hAnsi="宋体" w:cs="宋体"/>
          <w:sz w:val="24"/>
        </w:rPr>
      </w:pPr>
      <w:r>
        <w:rPr>
          <w:rFonts w:hint="eastAsia" w:ascii="宋体" w:hAnsi="宋体" w:cs="宋体"/>
          <w:sz w:val="24"/>
        </w:rPr>
        <w:t>1.供应商被视为充分熟悉本招标项目的技术要求及与履行合同有关的一切情况；</w:t>
      </w:r>
    </w:p>
    <w:p w14:paraId="7742C6AC">
      <w:pPr>
        <w:snapToGrid w:val="0"/>
        <w:spacing w:line="360" w:lineRule="auto"/>
        <w:ind w:firstLine="480" w:firstLineChars="200"/>
        <w:rPr>
          <w:rFonts w:hint="eastAsia" w:ascii="宋体" w:hAnsi="宋体" w:cs="宋体"/>
          <w:sz w:val="24"/>
        </w:rPr>
      </w:pPr>
      <w:r>
        <w:rPr>
          <w:rFonts w:hint="eastAsia" w:ascii="宋体" w:hAnsi="宋体" w:cs="宋体"/>
          <w:sz w:val="24"/>
        </w:rPr>
        <w:t>2.供应商应遵守我国与政府采购相关的法律、法规及规章条例，不得违反；</w:t>
      </w:r>
    </w:p>
    <w:p w14:paraId="57CCB031">
      <w:pPr>
        <w:snapToGrid w:val="0"/>
        <w:spacing w:line="360" w:lineRule="auto"/>
        <w:ind w:firstLine="480" w:firstLineChars="200"/>
        <w:rPr>
          <w:rFonts w:hint="eastAsia" w:ascii="宋体" w:hAnsi="宋体" w:cs="宋体"/>
          <w:sz w:val="24"/>
        </w:rPr>
      </w:pPr>
      <w:r>
        <w:rPr>
          <w:rFonts w:hint="eastAsia" w:ascii="宋体" w:hAnsi="宋体" w:cs="宋体"/>
          <w:sz w:val="24"/>
        </w:rPr>
        <w:t>3.供应商应详细阅读询价文件的全部内容。不按询价文件的要求提供的报价和资料，可能导致询价文件被拒绝。</w:t>
      </w:r>
      <w:r>
        <w:rPr>
          <w:rFonts w:ascii="宋体" w:hAnsi="宋体" w:cs="宋体"/>
          <w:sz w:val="24"/>
        </w:rPr>
        <w:br w:type="page"/>
      </w:r>
    </w:p>
    <w:p w14:paraId="62901D71">
      <w:pPr>
        <w:pStyle w:val="20"/>
        <w:widowControl/>
        <w:spacing w:before="0" w:beforeAutospacing="0" w:after="0" w:afterAutospacing="0" w:line="480" w:lineRule="exact"/>
        <w:jc w:val="center"/>
        <w:outlineLvl w:val="0"/>
        <w:rPr>
          <w:rFonts w:hint="eastAsia" w:ascii="宋体" w:hAnsi="宋体" w:cs="宋体"/>
          <w:b/>
          <w:bCs/>
          <w:sz w:val="30"/>
          <w:szCs w:val="30"/>
        </w:rPr>
      </w:pPr>
      <w:bookmarkStart w:id="117" w:name="_Toc559"/>
      <w:bookmarkStart w:id="118" w:name="_Toc19680"/>
      <w:bookmarkStart w:id="119" w:name="_Toc20279"/>
      <w:bookmarkStart w:id="120" w:name="_Toc21848"/>
      <w:bookmarkStart w:id="121" w:name="_Toc14433"/>
      <w:r>
        <w:rPr>
          <w:rFonts w:hint="eastAsia" w:ascii="宋体" w:hAnsi="宋体" w:cs="宋体"/>
          <w:b/>
          <w:bCs/>
          <w:sz w:val="30"/>
          <w:szCs w:val="30"/>
        </w:rPr>
        <w:t>第二章采购合同</w:t>
      </w:r>
      <w:bookmarkEnd w:id="117"/>
      <w:bookmarkEnd w:id="118"/>
      <w:bookmarkEnd w:id="119"/>
      <w:bookmarkEnd w:id="120"/>
      <w:bookmarkEnd w:id="121"/>
    </w:p>
    <w:p w14:paraId="4DC6697E">
      <w:pPr>
        <w:spacing w:line="360" w:lineRule="auto"/>
        <w:jc w:val="center"/>
        <w:rPr>
          <w:rFonts w:hint="eastAsia" w:ascii="仿宋" w:hAnsi="仿宋" w:eastAsia="仿宋" w:cs="仿宋"/>
          <w:sz w:val="24"/>
        </w:rPr>
      </w:pPr>
      <w:r>
        <w:rPr>
          <w:rFonts w:hint="eastAsia" w:ascii="宋体" w:hAnsi="宋体" w:cs="宋体"/>
          <w:sz w:val="24"/>
        </w:rPr>
        <w:t>（以下合同仅供参考，采购人可与成交供应商可根据项目特点自行协商拟定）</w:t>
      </w:r>
    </w:p>
    <w:p w14:paraId="4FC9E0C3">
      <w:pPr>
        <w:spacing w:line="360" w:lineRule="auto"/>
        <w:rPr>
          <w:rFonts w:hint="eastAsia" w:ascii="宋体" w:hAnsi="宋体" w:cs="宋体"/>
          <w:sz w:val="24"/>
        </w:rPr>
      </w:pPr>
    </w:p>
    <w:p w14:paraId="0EC07874">
      <w:pPr>
        <w:spacing w:line="360" w:lineRule="auto"/>
        <w:rPr>
          <w:rFonts w:hint="eastAsia" w:ascii="宋体" w:hAnsi="宋体" w:cs="宋体"/>
          <w:sz w:val="24"/>
        </w:rPr>
      </w:pPr>
      <w:r>
        <w:rPr>
          <w:rFonts w:hint="eastAsia" w:ascii="宋体" w:hAnsi="宋体" w:cs="宋体"/>
          <w:sz w:val="24"/>
        </w:rPr>
        <w:t>买方：XXXXXXXXXXXX</w:t>
      </w:r>
    </w:p>
    <w:p w14:paraId="08D9A4EE">
      <w:pPr>
        <w:spacing w:line="360" w:lineRule="auto"/>
        <w:rPr>
          <w:rFonts w:hint="eastAsia" w:ascii="宋体" w:hAnsi="宋体" w:cs="宋体"/>
          <w:sz w:val="24"/>
        </w:rPr>
      </w:pPr>
      <w:r>
        <w:rPr>
          <w:rFonts w:hint="eastAsia" w:ascii="宋体" w:hAnsi="宋体" w:cs="宋体"/>
          <w:sz w:val="24"/>
        </w:rPr>
        <w:t>卖方：XXXXXXXXXXXX</w:t>
      </w:r>
    </w:p>
    <w:p w14:paraId="2098E713">
      <w:pPr>
        <w:spacing w:line="360" w:lineRule="auto"/>
        <w:rPr>
          <w:rFonts w:hint="eastAsia" w:ascii="宋体" w:hAnsi="宋体" w:cs="宋体"/>
          <w:sz w:val="24"/>
        </w:rPr>
      </w:pPr>
    </w:p>
    <w:p w14:paraId="24E5889D">
      <w:pPr>
        <w:spacing w:line="360" w:lineRule="auto"/>
        <w:ind w:firstLine="672" w:firstLineChars="280"/>
        <w:rPr>
          <w:rFonts w:hint="eastAsia" w:ascii="宋体" w:hAnsi="宋体" w:cs="宋体"/>
          <w:sz w:val="24"/>
        </w:rPr>
      </w:pPr>
      <w:r>
        <w:rPr>
          <w:rFonts w:hint="eastAsia" w:ascii="宋体" w:hAnsi="宋体" w:cs="宋体"/>
          <w:sz w:val="24"/>
        </w:rPr>
        <w:t>买方通过</w:t>
      </w:r>
      <w:r>
        <w:rPr>
          <w:rFonts w:hint="eastAsia" w:cs="宋体"/>
          <w:sz w:val="24"/>
          <w:u w:val="single"/>
        </w:rPr>
        <w:t>询价</w:t>
      </w:r>
      <w:r>
        <w:rPr>
          <w:rFonts w:hint="eastAsia" w:ascii="宋体" w:hAnsi="宋体" w:cs="宋体"/>
          <w:sz w:val="24"/>
        </w:rPr>
        <w:t>方式采购活动，经</w:t>
      </w:r>
      <w:r>
        <w:rPr>
          <w:rFonts w:hint="eastAsia" w:ascii="宋体" w:hAnsi="宋体" w:cs="宋体"/>
          <w:sz w:val="24"/>
          <w:u w:val="single"/>
        </w:rPr>
        <w:t>评标委员会</w:t>
      </w:r>
      <w:r>
        <w:rPr>
          <w:rFonts w:hint="eastAsia" w:ascii="宋体" w:hAnsi="宋体" w:cs="宋体"/>
          <w:sz w:val="24"/>
        </w:rPr>
        <w:t>的评审，决定将本项目采购合同授予卖方。为进一步明确双方的责任，确保合同的顺利履行，根据《中华人民共和国政府采购法》、《中华人民共和国民法典》及有关法律规定，遵循平等、自愿、公平和诚实信用的原则，买卖双方协商一致同意按如下条款签订本合同：</w:t>
      </w:r>
    </w:p>
    <w:p w14:paraId="14B6B82B">
      <w:pPr>
        <w:spacing w:line="360" w:lineRule="auto"/>
        <w:ind w:firstLine="482" w:firstLineChars="200"/>
        <w:rPr>
          <w:rFonts w:hint="eastAsia" w:ascii="宋体" w:hAnsi="宋体" w:cs="宋体"/>
          <w:b/>
          <w:sz w:val="24"/>
        </w:rPr>
      </w:pPr>
      <w:r>
        <w:rPr>
          <w:rFonts w:ascii="宋体" w:hAnsi="宋体" w:cs="宋体"/>
          <w:b/>
          <w:sz w:val="24"/>
        </w:rPr>
        <w:t>一、</w:t>
      </w:r>
      <w:r>
        <w:rPr>
          <w:rFonts w:hint="eastAsia" w:ascii="宋体" w:hAnsi="宋体" w:cs="宋体"/>
          <w:b/>
          <w:sz w:val="24"/>
        </w:rPr>
        <w:t>服务名称及内容</w:t>
      </w:r>
    </w:p>
    <w:p w14:paraId="40C407E3">
      <w:pPr>
        <w:spacing w:line="360" w:lineRule="auto"/>
        <w:rPr>
          <w:rFonts w:hint="eastAsia" w:ascii="宋体" w:hAnsi="宋体" w:cs="宋体"/>
          <w:sz w:val="24"/>
        </w:rPr>
      </w:pPr>
      <w:r>
        <w:rPr>
          <w:rFonts w:hint="eastAsia" w:ascii="宋体" w:hAnsi="宋体" w:cs="宋体"/>
          <w:sz w:val="24"/>
        </w:rPr>
        <w:t>本合同采购服务名称和内容同采购文件规定。</w:t>
      </w:r>
    </w:p>
    <w:p w14:paraId="3B6F6722">
      <w:pPr>
        <w:spacing w:line="360" w:lineRule="auto"/>
        <w:ind w:firstLine="482" w:firstLineChars="200"/>
        <w:rPr>
          <w:rFonts w:hint="eastAsia" w:ascii="宋体" w:hAnsi="宋体" w:cs="宋体"/>
          <w:b/>
          <w:sz w:val="24"/>
        </w:rPr>
      </w:pPr>
      <w:r>
        <w:rPr>
          <w:rFonts w:hint="eastAsia" w:ascii="宋体" w:hAnsi="宋体" w:cs="宋体"/>
          <w:b/>
          <w:sz w:val="24"/>
        </w:rPr>
        <w:t>二、组成合同的文件</w:t>
      </w:r>
    </w:p>
    <w:p w14:paraId="3BD44AC2">
      <w:pPr>
        <w:spacing w:line="360" w:lineRule="auto"/>
        <w:ind w:firstLine="480" w:firstLineChars="200"/>
        <w:rPr>
          <w:rFonts w:hint="eastAsia" w:ascii="宋体" w:hAnsi="宋体" w:cs="宋体"/>
          <w:sz w:val="24"/>
        </w:rPr>
      </w:pPr>
      <w:r>
        <w:rPr>
          <w:rFonts w:hint="eastAsia" w:ascii="宋体" w:hAnsi="宋体" w:cs="宋体"/>
          <w:sz w:val="24"/>
        </w:rPr>
        <w:t>组成本合同的文件包括：</w:t>
      </w:r>
    </w:p>
    <w:p w14:paraId="5A44D249">
      <w:pPr>
        <w:spacing w:line="360" w:lineRule="auto"/>
        <w:ind w:firstLine="480" w:firstLineChars="200"/>
        <w:rPr>
          <w:rFonts w:hint="eastAsia" w:ascii="宋体" w:hAnsi="宋体" w:cs="宋体"/>
          <w:sz w:val="24"/>
        </w:rPr>
      </w:pPr>
      <w:r>
        <w:rPr>
          <w:rFonts w:hint="eastAsia" w:ascii="宋体" w:hAnsi="宋体" w:cs="宋体"/>
          <w:sz w:val="24"/>
        </w:rPr>
        <w:t>（一）采购文件及答疑、更正公告;</w:t>
      </w:r>
    </w:p>
    <w:p w14:paraId="1D44243F">
      <w:pPr>
        <w:spacing w:line="360" w:lineRule="auto"/>
        <w:ind w:firstLine="480" w:firstLineChars="200"/>
        <w:rPr>
          <w:rFonts w:hint="eastAsia" w:ascii="宋体" w:hAnsi="宋体" w:cs="宋体"/>
          <w:sz w:val="24"/>
        </w:rPr>
      </w:pPr>
      <w:r>
        <w:rPr>
          <w:rFonts w:hint="eastAsia" w:ascii="宋体" w:hAnsi="宋体" w:cs="宋体"/>
          <w:sz w:val="24"/>
        </w:rPr>
        <w:t>（二）采购文件标准文本中的“合同条款”；</w:t>
      </w:r>
    </w:p>
    <w:p w14:paraId="5A2F43AD">
      <w:pPr>
        <w:spacing w:line="360" w:lineRule="auto"/>
        <w:ind w:firstLine="480" w:firstLineChars="200"/>
        <w:rPr>
          <w:rFonts w:hint="eastAsia" w:ascii="宋体" w:hAnsi="宋体" w:cs="宋体"/>
          <w:sz w:val="24"/>
        </w:rPr>
      </w:pPr>
      <w:r>
        <w:rPr>
          <w:rFonts w:hint="eastAsia" w:ascii="宋体" w:hAnsi="宋体" w:cs="宋体"/>
          <w:sz w:val="24"/>
        </w:rPr>
        <w:t>（三）中标或成交公告；</w:t>
      </w:r>
    </w:p>
    <w:p w14:paraId="624425ED">
      <w:pPr>
        <w:spacing w:line="360" w:lineRule="auto"/>
        <w:ind w:firstLine="480" w:firstLineChars="200"/>
        <w:rPr>
          <w:rFonts w:hint="eastAsia" w:ascii="宋体" w:hAnsi="宋体" w:cs="宋体"/>
          <w:sz w:val="24"/>
        </w:rPr>
      </w:pPr>
      <w:r>
        <w:rPr>
          <w:rFonts w:hint="eastAsia" w:ascii="宋体" w:hAnsi="宋体" w:cs="宋体"/>
          <w:sz w:val="24"/>
        </w:rPr>
        <w:t>（四）卖方提交的投标文件及书面承诺函；</w:t>
      </w:r>
    </w:p>
    <w:p w14:paraId="6B6FEC62">
      <w:pPr>
        <w:spacing w:line="360" w:lineRule="auto"/>
        <w:ind w:firstLine="480" w:firstLineChars="200"/>
        <w:rPr>
          <w:rFonts w:hint="eastAsia" w:ascii="宋体" w:hAnsi="宋体" w:cs="宋体"/>
          <w:sz w:val="24"/>
        </w:rPr>
      </w:pPr>
      <w:r>
        <w:rPr>
          <w:rFonts w:hint="eastAsia" w:ascii="宋体" w:hAnsi="宋体" w:cs="宋体"/>
          <w:sz w:val="24"/>
        </w:rPr>
        <w:t>（五）双方另行签订的补充协议。</w:t>
      </w:r>
    </w:p>
    <w:p w14:paraId="40E8206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cs="宋体"/>
          <w:b/>
          <w:sz w:val="24"/>
        </w:rPr>
      </w:pPr>
      <w:r>
        <w:rPr>
          <w:rFonts w:hint="eastAsia" w:ascii="宋体" w:hAnsi="宋体" w:cs="宋体"/>
          <w:b/>
          <w:sz w:val="24"/>
        </w:rPr>
        <w:t>三、本合同的改装公告申报服务费金额为</w:t>
      </w:r>
      <w:r>
        <w:rPr>
          <w:rFonts w:hint="eastAsia" w:ascii="宋体" w:hAnsi="宋体" w:cs="宋体"/>
          <w:b/>
          <w:sz w:val="24"/>
          <w:u w:val="single"/>
        </w:rPr>
        <w:t xml:space="preserve">￥：       </w:t>
      </w:r>
      <w:r>
        <w:rPr>
          <w:rFonts w:hint="eastAsia" w:ascii="宋体" w:hAnsi="宋体" w:cs="宋体"/>
          <w:b/>
          <w:sz w:val="24"/>
        </w:rPr>
        <w:t>元（</w:t>
      </w:r>
      <w:r>
        <w:rPr>
          <w:rFonts w:hint="eastAsia" w:ascii="宋体" w:hAnsi="宋体" w:cs="宋体"/>
          <w:b/>
          <w:sz w:val="24"/>
          <w:u w:val="single"/>
        </w:rPr>
        <w:t>人民币大写：       ）</w:t>
      </w:r>
      <w:r>
        <w:rPr>
          <w:rFonts w:hint="eastAsia" w:ascii="宋体" w:hAnsi="宋体" w:cs="宋体"/>
          <w:b/>
          <w:sz w:val="24"/>
        </w:rPr>
        <w:t>，不含车辆后续改装服务费。</w:t>
      </w:r>
    </w:p>
    <w:p w14:paraId="1B8DC66B">
      <w:pPr>
        <w:spacing w:line="360" w:lineRule="auto"/>
        <w:ind w:firstLine="482" w:firstLineChars="200"/>
        <w:rPr>
          <w:rFonts w:hint="eastAsia" w:ascii="宋体" w:hAnsi="宋体" w:cs="宋体"/>
          <w:b/>
          <w:sz w:val="24"/>
        </w:rPr>
      </w:pPr>
      <w:r>
        <w:rPr>
          <w:rFonts w:hint="eastAsia" w:ascii="宋体" w:hAnsi="宋体" w:cs="宋体"/>
          <w:b/>
          <w:sz w:val="24"/>
        </w:rPr>
        <w:t>四、服务期限</w:t>
      </w:r>
    </w:p>
    <w:p w14:paraId="2901C5D9">
      <w:pPr>
        <w:spacing w:line="360" w:lineRule="auto"/>
        <w:ind w:firstLine="480" w:firstLineChars="200"/>
        <w:rPr>
          <w:rFonts w:hint="eastAsia" w:ascii="宋体" w:hAnsi="宋体" w:cs="宋体"/>
          <w:sz w:val="24"/>
        </w:rPr>
      </w:pPr>
      <w:r>
        <w:rPr>
          <w:rFonts w:hint="eastAsia" w:ascii="宋体" w:hAnsi="宋体" w:cs="宋体"/>
          <w:sz w:val="24"/>
        </w:rPr>
        <w:t>卖方应于合同签字生效后开始计算的日内完成合同规定的服务内容，由买方进行验收。</w:t>
      </w:r>
    </w:p>
    <w:p w14:paraId="440FDA8B">
      <w:pPr>
        <w:spacing w:line="360" w:lineRule="auto"/>
        <w:ind w:firstLine="482" w:firstLineChars="200"/>
        <w:rPr>
          <w:rFonts w:hint="eastAsia" w:ascii="宋体" w:hAnsi="宋体" w:cs="宋体"/>
          <w:b/>
          <w:sz w:val="24"/>
        </w:rPr>
      </w:pPr>
      <w:r>
        <w:rPr>
          <w:rFonts w:hint="eastAsia" w:ascii="宋体" w:hAnsi="宋体" w:cs="宋体"/>
          <w:b/>
          <w:sz w:val="24"/>
        </w:rPr>
        <w:t>五、验收要求</w:t>
      </w:r>
    </w:p>
    <w:p w14:paraId="2F3FCFA1">
      <w:pPr>
        <w:spacing w:line="360" w:lineRule="auto"/>
        <w:ind w:firstLine="480" w:firstLineChars="200"/>
        <w:rPr>
          <w:rFonts w:hint="eastAsia" w:ascii="宋体" w:hAnsi="宋体" w:cs="宋体"/>
          <w:sz w:val="24"/>
        </w:rPr>
      </w:pPr>
      <w:r>
        <w:rPr>
          <w:rFonts w:hint="eastAsia" w:ascii="宋体" w:hAnsi="宋体" w:cs="宋体"/>
          <w:sz w:val="24"/>
        </w:rPr>
        <w:t>以工信部出具的车辆授权公告为准。</w:t>
      </w:r>
    </w:p>
    <w:p w14:paraId="3E0D11C1">
      <w:pPr>
        <w:spacing w:line="360" w:lineRule="auto"/>
        <w:ind w:firstLine="482" w:firstLineChars="200"/>
        <w:rPr>
          <w:rFonts w:hint="eastAsia" w:ascii="宋体" w:hAnsi="宋体" w:cs="宋体"/>
          <w:b/>
          <w:sz w:val="24"/>
        </w:rPr>
      </w:pPr>
      <w:r>
        <w:rPr>
          <w:rFonts w:hint="eastAsia" w:ascii="宋体" w:hAnsi="宋体" w:cs="宋体"/>
          <w:b/>
          <w:sz w:val="24"/>
        </w:rPr>
        <w:t>六、付款方式</w:t>
      </w:r>
    </w:p>
    <w:p w14:paraId="166EF0C8">
      <w:pPr>
        <w:spacing w:line="360" w:lineRule="auto"/>
        <w:ind w:firstLine="480" w:firstLineChars="200"/>
        <w:rPr>
          <w:rFonts w:hint="eastAsia" w:ascii="宋体" w:hAnsi="宋体" w:cs="宋体"/>
          <w:sz w:val="24"/>
        </w:rPr>
      </w:pPr>
      <w:r>
        <w:rPr>
          <w:rFonts w:hint="eastAsia" w:ascii="宋体" w:hAnsi="宋体" w:cs="宋体"/>
          <w:sz w:val="24"/>
        </w:rPr>
        <w:t>合同签订后7个工作日内预付30%，公告获批后7个工作日内付款70%。</w:t>
      </w:r>
    </w:p>
    <w:p w14:paraId="3917F010">
      <w:pPr>
        <w:spacing w:line="360" w:lineRule="auto"/>
        <w:ind w:firstLine="540"/>
        <w:rPr>
          <w:rFonts w:hint="eastAsia" w:ascii="宋体" w:hAnsi="宋体" w:cs="宋体"/>
          <w:b/>
          <w:bCs/>
          <w:sz w:val="24"/>
        </w:rPr>
      </w:pPr>
      <w:r>
        <w:rPr>
          <w:rFonts w:hint="eastAsia" w:ascii="宋体" w:hAnsi="宋体" w:cs="宋体"/>
          <w:b/>
          <w:bCs/>
          <w:sz w:val="24"/>
        </w:rPr>
        <w:t>七、售后服务</w:t>
      </w:r>
    </w:p>
    <w:p w14:paraId="6661739F">
      <w:pPr>
        <w:spacing w:line="360" w:lineRule="auto"/>
        <w:ind w:firstLine="480" w:firstLineChars="200"/>
        <w:rPr>
          <w:rFonts w:hint="eastAsia" w:ascii="宋体" w:hAnsi="宋体" w:cs="宋体"/>
          <w:sz w:val="24"/>
        </w:rPr>
      </w:pPr>
      <w:r>
        <w:rPr>
          <w:rFonts w:hint="eastAsia" w:ascii="宋体" w:hAnsi="宋体" w:cs="宋体"/>
          <w:sz w:val="24"/>
        </w:rPr>
        <w:t>（一）卖方对合同服务的质量保修期为验收证书签署之日起</w:t>
      </w:r>
      <w:r>
        <w:rPr>
          <w:rFonts w:hint="eastAsia" w:ascii="宋体" w:hAnsi="宋体" w:cs="宋体"/>
          <w:sz w:val="24"/>
          <w:u w:val="single"/>
        </w:rPr>
        <w:t xml:space="preserve"> 12 </w:t>
      </w:r>
      <w:r>
        <w:rPr>
          <w:rFonts w:hint="eastAsia" w:ascii="宋体" w:hAnsi="宋体" w:cs="宋体"/>
          <w:sz w:val="24"/>
        </w:rPr>
        <w:t>个月。</w:t>
      </w:r>
    </w:p>
    <w:p w14:paraId="439D847C">
      <w:pPr>
        <w:spacing w:line="360" w:lineRule="auto"/>
        <w:ind w:firstLine="480" w:firstLineChars="200"/>
        <w:rPr>
          <w:rFonts w:hint="eastAsia" w:ascii="宋体" w:hAnsi="宋体" w:cs="宋体"/>
          <w:sz w:val="24"/>
        </w:rPr>
      </w:pPr>
      <w:r>
        <w:rPr>
          <w:rFonts w:hint="eastAsia" w:ascii="宋体" w:hAnsi="宋体" w:cs="宋体"/>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天内免费维修或更换有缺陷的部分。</w:t>
      </w:r>
    </w:p>
    <w:p w14:paraId="6CAA854F">
      <w:pPr>
        <w:spacing w:line="360" w:lineRule="auto"/>
        <w:ind w:firstLine="480" w:firstLineChars="200"/>
        <w:rPr>
          <w:rFonts w:hint="eastAsia" w:ascii="宋体" w:hAnsi="宋体" w:cs="宋体"/>
          <w:sz w:val="24"/>
        </w:rPr>
      </w:pPr>
      <w:r>
        <w:rPr>
          <w:rFonts w:hint="eastAsia" w:ascii="宋体" w:hAnsi="宋体" w:cs="宋体"/>
          <w:sz w:val="24"/>
        </w:rPr>
        <w:t>（三）如卖方在收到通知后在政府采购合同规定时间内，没有弥补缺陷，买方可采取必要的补救措施，但由此引发的风险和费用将由卖方承担。</w:t>
      </w:r>
    </w:p>
    <w:p w14:paraId="354F3081">
      <w:pPr>
        <w:spacing w:line="360" w:lineRule="auto"/>
        <w:ind w:firstLine="482" w:firstLineChars="200"/>
        <w:rPr>
          <w:rFonts w:hint="eastAsia" w:ascii="宋体" w:hAnsi="宋体" w:cs="宋体"/>
          <w:b/>
          <w:bCs/>
          <w:sz w:val="24"/>
        </w:rPr>
      </w:pPr>
      <w:r>
        <w:rPr>
          <w:rFonts w:hint="eastAsia" w:ascii="宋体" w:hAnsi="宋体" w:cs="宋体"/>
          <w:b/>
          <w:bCs/>
          <w:sz w:val="24"/>
        </w:rPr>
        <w:t>（四）后续我方购买车辆时，卖方按照公告批复要求对车辆进行改装，</w:t>
      </w:r>
      <w:r>
        <w:rPr>
          <w:rFonts w:hint="eastAsia" w:ascii="宋体" w:hAnsi="宋体" w:cs="宋体"/>
          <w:b/>
          <w:bCs/>
          <w:sz w:val="24"/>
          <w:lang w:val="en-US" w:eastAsia="zh-CN"/>
        </w:rPr>
        <w:t>后续</w:t>
      </w:r>
      <w:r>
        <w:rPr>
          <w:rFonts w:hint="eastAsia" w:ascii="宋体" w:hAnsi="宋体" w:cs="宋体"/>
          <w:b/>
          <w:bCs/>
          <w:sz w:val="24"/>
        </w:rPr>
        <w:t>改装服务费为本次招标的中标价。</w:t>
      </w:r>
    </w:p>
    <w:p w14:paraId="7EC07C9B">
      <w:pPr>
        <w:spacing w:line="360" w:lineRule="auto"/>
        <w:ind w:firstLine="540"/>
        <w:rPr>
          <w:rFonts w:hint="eastAsia" w:ascii="宋体" w:hAnsi="宋体" w:cs="宋体"/>
          <w:b/>
          <w:bCs/>
          <w:sz w:val="24"/>
        </w:rPr>
      </w:pPr>
      <w:r>
        <w:rPr>
          <w:rFonts w:hint="eastAsia" w:ascii="宋体" w:hAnsi="宋体" w:cs="宋体"/>
          <w:b/>
          <w:bCs/>
          <w:sz w:val="24"/>
        </w:rPr>
        <w:t>八、违约责任</w:t>
      </w:r>
    </w:p>
    <w:p w14:paraId="39793D98">
      <w:pPr>
        <w:spacing w:line="360" w:lineRule="auto"/>
        <w:ind w:firstLine="480" w:firstLineChars="200"/>
        <w:rPr>
          <w:rFonts w:hint="eastAsia" w:ascii="宋体" w:hAnsi="宋体" w:cs="宋体"/>
          <w:sz w:val="24"/>
        </w:rPr>
      </w:pPr>
      <w:r>
        <w:rPr>
          <w:rFonts w:hint="eastAsia" w:ascii="宋体" w:hAnsi="宋体" w:cs="宋体"/>
          <w:sz w:val="24"/>
        </w:rPr>
        <w:t>（一）卖方服务期限超过合同约定服务期限。如果卖方由于自身的原因未能按期履行完合同，买方可从履约保证金中获得经济上的赔偿。其标准为按每延期一周收取合同金额的%，但误期赔偿费总额不得超过履约保证金总额。一周按7天计算，不足7天按一周计算。在此情况下，卖方不得要求买方退还其履约保证金。</w:t>
      </w:r>
    </w:p>
    <w:p w14:paraId="7B3CD0A6">
      <w:pPr>
        <w:spacing w:line="360" w:lineRule="auto"/>
        <w:ind w:firstLine="480" w:firstLineChars="200"/>
        <w:rPr>
          <w:rFonts w:hint="eastAsia" w:ascii="宋体" w:hAnsi="宋体" w:cs="宋体"/>
          <w:sz w:val="24"/>
        </w:rPr>
      </w:pPr>
      <w:r>
        <w:rPr>
          <w:rFonts w:hint="eastAsia" w:ascii="宋体" w:hAnsi="宋体" w:cs="宋体"/>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671D67BD">
      <w:pPr>
        <w:spacing w:line="360" w:lineRule="auto"/>
        <w:ind w:firstLine="480" w:firstLineChars="200"/>
        <w:rPr>
          <w:rFonts w:hint="eastAsia" w:ascii="宋体" w:hAnsi="宋体" w:cs="宋体"/>
          <w:sz w:val="24"/>
        </w:rPr>
      </w:pPr>
      <w:r>
        <w:rPr>
          <w:rFonts w:hint="eastAsia" w:ascii="宋体" w:hAnsi="宋体" w:cs="宋体"/>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14:paraId="6E21AC2D">
      <w:pPr>
        <w:spacing w:line="360" w:lineRule="auto"/>
        <w:ind w:firstLine="480" w:firstLineChars="200"/>
        <w:rPr>
          <w:rFonts w:hint="eastAsia" w:ascii="宋体" w:hAnsi="宋体" w:cs="宋体"/>
          <w:sz w:val="24"/>
        </w:rPr>
      </w:pPr>
      <w:r>
        <w:rPr>
          <w:rFonts w:hint="eastAsia" w:ascii="宋体" w:hAnsi="宋体" w:cs="宋体"/>
          <w:sz w:val="24"/>
        </w:rPr>
        <w:t>（四）卖方将合同转包、擅自变更、中止或者终止合同的，买方有权终止合同，并提请政府采购监管部门对卖方进行采购金额千分之五的罚款，列入不良行为记录名单，在一至三年内禁止参加政府采购活动。</w:t>
      </w:r>
    </w:p>
    <w:p w14:paraId="1CD7377B">
      <w:pPr>
        <w:spacing w:line="360" w:lineRule="auto"/>
        <w:ind w:firstLine="480" w:firstLineChars="200"/>
        <w:rPr>
          <w:rFonts w:hint="eastAsia" w:ascii="宋体" w:hAnsi="宋体" w:cs="宋体"/>
          <w:sz w:val="24"/>
        </w:rPr>
      </w:pPr>
      <w:r>
        <w:rPr>
          <w:rFonts w:hint="eastAsia" w:ascii="宋体" w:hAnsi="宋体" w:cs="宋体"/>
          <w:sz w:val="24"/>
        </w:rPr>
        <w:t>（五）买方违反合同规定拒绝接收服务的，应当承担由此造成的损失。</w:t>
      </w:r>
    </w:p>
    <w:p w14:paraId="07782A5A">
      <w:pPr>
        <w:spacing w:line="360" w:lineRule="auto"/>
        <w:ind w:firstLine="480" w:firstLineChars="200"/>
        <w:rPr>
          <w:rFonts w:hint="eastAsia" w:ascii="宋体" w:hAnsi="宋体" w:cs="宋体"/>
          <w:sz w:val="24"/>
        </w:rPr>
      </w:pPr>
      <w:r>
        <w:rPr>
          <w:rFonts w:hint="eastAsia" w:ascii="宋体" w:hAnsi="宋体" w:cs="宋体"/>
          <w:sz w:val="24"/>
        </w:rPr>
        <w:t>（七）验收合格后，买方未能按时提请付款，由监管部门责令限期改</w:t>
      </w:r>
    </w:p>
    <w:p w14:paraId="27FD68CF">
      <w:pPr>
        <w:spacing w:line="360" w:lineRule="auto"/>
        <w:ind w:firstLine="480" w:firstLineChars="200"/>
        <w:rPr>
          <w:rFonts w:hint="eastAsia" w:ascii="宋体" w:hAnsi="宋体" w:cs="宋体"/>
          <w:sz w:val="24"/>
        </w:rPr>
      </w:pPr>
      <w:r>
        <w:rPr>
          <w:rFonts w:hint="eastAsia" w:ascii="宋体" w:hAnsi="宋体" w:cs="宋体"/>
          <w:sz w:val="24"/>
        </w:rPr>
        <w:t>正，给予警告。</w:t>
      </w:r>
    </w:p>
    <w:p w14:paraId="3FAA83D3">
      <w:pPr>
        <w:spacing w:line="360" w:lineRule="auto"/>
        <w:ind w:firstLine="480" w:firstLineChars="200"/>
        <w:rPr>
          <w:rFonts w:hint="eastAsia" w:ascii="宋体" w:hAnsi="宋体" w:cs="宋体"/>
          <w:sz w:val="24"/>
          <w:bdr w:val="single" w:color="auto" w:sz="4" w:space="0"/>
        </w:rPr>
      </w:pPr>
      <w:r>
        <w:rPr>
          <w:rFonts w:hint="eastAsia" w:ascii="宋体" w:hAnsi="宋体" w:cs="宋体"/>
          <w:sz w:val="24"/>
        </w:rPr>
        <w:t>（八）买方擅自变更、中止或者终止合同，由监管部门责令限期改正，给予警告，对直接负责的主管人员和其他直接责任人员，由其行政主管部门给予处分，并予通报。</w:t>
      </w:r>
    </w:p>
    <w:p w14:paraId="0B8FF917">
      <w:pPr>
        <w:spacing w:line="360" w:lineRule="auto"/>
        <w:ind w:firstLine="540"/>
        <w:rPr>
          <w:rFonts w:hint="eastAsia" w:ascii="宋体" w:hAnsi="宋体" w:cs="宋体"/>
          <w:b/>
          <w:bCs/>
          <w:sz w:val="24"/>
        </w:rPr>
      </w:pPr>
      <w:r>
        <w:rPr>
          <w:rFonts w:hint="eastAsia" w:ascii="宋体" w:hAnsi="宋体" w:cs="宋体"/>
          <w:b/>
          <w:bCs/>
          <w:sz w:val="24"/>
        </w:rPr>
        <w:t>九、合同签订地点</w:t>
      </w:r>
    </w:p>
    <w:p w14:paraId="2D53AD1D">
      <w:pPr>
        <w:spacing w:line="360" w:lineRule="auto"/>
        <w:ind w:firstLine="540"/>
        <w:rPr>
          <w:rFonts w:hint="eastAsia" w:ascii="宋体" w:hAnsi="宋体" w:cs="宋体"/>
          <w:sz w:val="24"/>
        </w:rPr>
      </w:pPr>
      <w:r>
        <w:rPr>
          <w:rFonts w:hint="eastAsia" w:ascii="宋体" w:hAnsi="宋体" w:cs="宋体"/>
          <w:bCs/>
          <w:sz w:val="24"/>
        </w:rPr>
        <w:t>本合同在</w:t>
      </w:r>
      <w:r>
        <w:rPr>
          <w:rFonts w:hint="eastAsia" w:ascii="宋体" w:hAnsi="宋体" w:cs="宋体"/>
          <w:bCs/>
          <w:sz w:val="24"/>
          <w:u w:val="single"/>
        </w:rPr>
        <w:t xml:space="preserve">   合肥市      </w:t>
      </w:r>
      <w:r>
        <w:rPr>
          <w:rFonts w:hint="eastAsia" w:ascii="宋体" w:hAnsi="宋体" w:cs="宋体"/>
          <w:bCs/>
          <w:sz w:val="24"/>
        </w:rPr>
        <w:t>签订。</w:t>
      </w:r>
    </w:p>
    <w:p w14:paraId="7E250F7E">
      <w:pPr>
        <w:spacing w:line="360" w:lineRule="auto"/>
        <w:ind w:firstLine="540"/>
        <w:rPr>
          <w:rFonts w:hint="eastAsia" w:ascii="宋体" w:hAnsi="宋体" w:cs="宋体"/>
          <w:b/>
          <w:bCs/>
          <w:sz w:val="24"/>
        </w:rPr>
      </w:pPr>
      <w:r>
        <w:rPr>
          <w:rFonts w:hint="eastAsia" w:ascii="宋体" w:hAnsi="宋体" w:cs="宋体"/>
          <w:b/>
          <w:bCs/>
          <w:sz w:val="24"/>
        </w:rPr>
        <w:t>十、合同的终止</w:t>
      </w:r>
    </w:p>
    <w:p w14:paraId="6ED04C6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（一）本合同因下列原因而终止：</w:t>
      </w:r>
    </w:p>
    <w:p w14:paraId="48111B4F">
      <w:pPr>
        <w:adjustRightInd w:val="0"/>
        <w:snapToGrid w:val="0"/>
        <w:spacing w:line="360" w:lineRule="auto"/>
        <w:ind w:firstLine="480" w:firstLineChars="200"/>
        <w:rPr>
          <w:rFonts w:hint="eastAsia" w:ascii="宋体" w:hAnsi="宋体" w:cs="宋体"/>
          <w:sz w:val="24"/>
        </w:rPr>
      </w:pPr>
      <w:r>
        <w:rPr>
          <w:rFonts w:hint="eastAsia" w:ascii="宋体" w:hAnsi="宋体" w:cs="宋体"/>
          <w:kern w:val="0"/>
          <w:sz w:val="24"/>
        </w:rPr>
        <w:t>1、</w:t>
      </w:r>
      <w:r>
        <w:rPr>
          <w:rFonts w:hint="eastAsia" w:ascii="宋体" w:hAnsi="宋体" w:cs="宋体"/>
          <w:sz w:val="24"/>
        </w:rPr>
        <w:t>本合同正常履行完毕；</w:t>
      </w:r>
    </w:p>
    <w:p w14:paraId="53518F9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2、合同双方协议终止本合同的履行；</w:t>
      </w:r>
    </w:p>
    <w:p w14:paraId="7AFDC72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3、不可抗力事件导致本合同无法履行或履行不必要；</w:t>
      </w:r>
    </w:p>
    <w:p w14:paraId="74CD16D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4、符合本合同约定的其他终止合同的条款。</w:t>
      </w:r>
    </w:p>
    <w:p w14:paraId="7AF194C2">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（二）对本合同终止有过错的一方应赔偿另一方因合同终止而受到的损失。对合同终止双方均无过错的，则各自承担所受到的损失。</w:t>
      </w:r>
    </w:p>
    <w:p w14:paraId="20E4DD46">
      <w:pPr>
        <w:spacing w:line="360" w:lineRule="auto"/>
        <w:ind w:firstLine="540"/>
        <w:rPr>
          <w:rFonts w:hint="eastAsia" w:ascii="宋体" w:hAnsi="宋体" w:cs="宋体"/>
          <w:b/>
          <w:sz w:val="24"/>
        </w:rPr>
      </w:pPr>
      <w:r>
        <w:rPr>
          <w:rFonts w:hint="eastAsia" w:ascii="宋体" w:hAnsi="宋体" w:cs="宋体"/>
          <w:b/>
          <w:sz w:val="24"/>
        </w:rPr>
        <w:t>十一、其他</w:t>
      </w:r>
    </w:p>
    <w:p w14:paraId="07099795">
      <w:pPr>
        <w:spacing w:line="360" w:lineRule="auto"/>
        <w:ind w:firstLine="480" w:firstLineChars="200"/>
        <w:rPr>
          <w:rFonts w:hint="eastAsia" w:ascii="宋体" w:hAnsi="宋体" w:cs="宋体"/>
          <w:sz w:val="24"/>
        </w:rPr>
      </w:pPr>
      <w:r>
        <w:rPr>
          <w:rFonts w:hint="eastAsia" w:ascii="宋体" w:hAnsi="宋体" w:cs="宋体"/>
          <w:sz w:val="24"/>
        </w:rPr>
        <w:t>（一）买卖双方必须严格按照采购文件、投标文件及有关承诺签订采购合同，不得擅自变更。合同执行期内，买卖双方均不得随意变更或解除合同。</w:t>
      </w:r>
    </w:p>
    <w:p w14:paraId="1608D7BE">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（二）本合同执行期间，如遇不可抗力，致使合同无法履行时，买卖双方应按有关法律规定及时协商处理。</w:t>
      </w:r>
    </w:p>
    <w:p w14:paraId="6C4958BB">
      <w:pPr>
        <w:spacing w:line="360" w:lineRule="auto"/>
        <w:ind w:firstLine="480" w:firstLineChars="200"/>
        <w:rPr>
          <w:rFonts w:hint="eastAsia" w:ascii="宋体" w:hAnsi="宋体" w:cs="宋体"/>
          <w:b/>
          <w:bCs/>
          <w:sz w:val="24"/>
        </w:rPr>
      </w:pPr>
      <w:r>
        <w:rPr>
          <w:rFonts w:hint="eastAsia" w:ascii="宋体" w:hAnsi="宋体" w:cs="宋体"/>
          <w:bCs/>
          <w:sz w:val="24"/>
        </w:rPr>
        <w:t>（三）合同未尽事宜，</w:t>
      </w:r>
      <w:r>
        <w:rPr>
          <w:rFonts w:hint="eastAsia" w:ascii="宋体" w:hAnsi="宋体" w:cs="宋体"/>
          <w:sz w:val="24"/>
        </w:rPr>
        <w:t>买卖双方</w:t>
      </w:r>
      <w:r>
        <w:rPr>
          <w:rFonts w:hint="eastAsia" w:ascii="宋体" w:hAnsi="宋体" w:cs="宋体"/>
          <w:bCs/>
          <w:sz w:val="24"/>
        </w:rPr>
        <w:t>另行签订补充协议，补充协议是合同的组成部分。</w:t>
      </w:r>
    </w:p>
    <w:p w14:paraId="54DDED6D">
      <w:pPr>
        <w:widowControl/>
        <w:spacing w:line="360" w:lineRule="auto"/>
        <w:ind w:firstLine="480" w:firstLineChars="200"/>
        <w:jc w:val="left"/>
        <w:rPr>
          <w:rFonts w:hint="eastAsia" w:ascii="宋体" w:hAnsi="宋体" w:cs="宋体"/>
          <w:b/>
          <w:sz w:val="24"/>
        </w:rPr>
      </w:pPr>
      <w:r>
        <w:rPr>
          <w:rFonts w:hint="eastAsia" w:ascii="宋体" w:hAnsi="宋体" w:cs="宋体"/>
          <w:kern w:val="0"/>
          <w:sz w:val="24"/>
        </w:rPr>
        <w:t>（四）本合同如发生纠纷，买卖双方应当及时协商解决，协商不成时，按以下第（）项方式处理：①根据《中华人民共和国仲裁法》的规定向申请仲裁。②向人民法院起诉。</w:t>
      </w:r>
    </w:p>
    <w:p w14:paraId="60EA533A">
      <w:pPr>
        <w:spacing w:line="360" w:lineRule="auto"/>
        <w:ind w:firstLine="540"/>
        <w:rPr>
          <w:rFonts w:hint="eastAsia" w:ascii="宋体" w:hAnsi="宋体" w:cs="宋体"/>
          <w:sz w:val="24"/>
        </w:rPr>
      </w:pPr>
      <w:r>
        <w:rPr>
          <w:rFonts w:hint="eastAsia" w:ascii="宋体" w:hAnsi="宋体" w:cs="宋体"/>
          <w:sz w:val="24"/>
        </w:rPr>
        <w:t>本合同一式陆份，自买卖双方法定代表人或委托代理人和见证方签字加盖单位公章后生效。</w:t>
      </w:r>
    </w:p>
    <w:p w14:paraId="1887AFBD">
      <w:pPr>
        <w:pStyle w:val="22"/>
        <w:ind w:firstLine="210"/>
      </w:pPr>
    </w:p>
    <w:p w14:paraId="286DAD12">
      <w:pPr>
        <w:pStyle w:val="22"/>
        <w:ind w:firstLine="210"/>
      </w:pPr>
    </w:p>
    <w:p w14:paraId="129542FD">
      <w:pPr>
        <w:pStyle w:val="22"/>
        <w:ind w:firstLine="210"/>
      </w:pPr>
    </w:p>
    <w:p w14:paraId="0337A746">
      <w:pPr>
        <w:spacing w:line="360" w:lineRule="auto"/>
        <w:rPr>
          <w:rFonts w:hint="eastAsia" w:ascii="宋体" w:hAnsi="宋体" w:cs="宋体"/>
          <w:sz w:val="24"/>
        </w:rPr>
      </w:pPr>
      <w:r>
        <w:rPr>
          <w:rFonts w:hint="eastAsia" w:ascii="宋体" w:hAnsi="宋体" w:cs="宋体"/>
          <w:sz w:val="24"/>
        </w:rPr>
        <w:t>买方：                                    卖方：</w:t>
      </w:r>
    </w:p>
    <w:p w14:paraId="0918E739">
      <w:pPr>
        <w:spacing w:line="360" w:lineRule="auto"/>
        <w:rPr>
          <w:rFonts w:hint="eastAsia" w:ascii="宋体" w:hAnsi="宋体" w:cs="宋体"/>
          <w:sz w:val="24"/>
        </w:rPr>
      </w:pPr>
      <w:r>
        <w:rPr>
          <w:rFonts w:hint="eastAsia" w:ascii="宋体" w:hAnsi="宋体" w:cs="宋体"/>
          <w:sz w:val="24"/>
        </w:rPr>
        <w:t>单位盖章：                                单位盖章：</w:t>
      </w:r>
    </w:p>
    <w:p w14:paraId="1B6B316E">
      <w:pPr>
        <w:spacing w:line="360" w:lineRule="auto"/>
        <w:rPr>
          <w:rFonts w:hint="eastAsia" w:ascii="宋体" w:hAnsi="宋体" w:cs="宋体"/>
          <w:sz w:val="24"/>
        </w:rPr>
      </w:pPr>
      <w:r>
        <w:rPr>
          <w:rFonts w:hint="eastAsia" w:ascii="宋体" w:hAnsi="宋体" w:cs="宋体"/>
          <w:sz w:val="24"/>
        </w:rPr>
        <w:t>法定代表人或委托代理人：                  法定代表人或委托代理人：</w:t>
      </w:r>
    </w:p>
    <w:p w14:paraId="7A540A83">
      <w:pPr>
        <w:spacing w:line="360" w:lineRule="auto"/>
        <w:rPr>
          <w:rFonts w:hint="eastAsia" w:ascii="宋体" w:hAnsi="宋体" w:cs="宋体"/>
          <w:sz w:val="24"/>
        </w:rPr>
      </w:pPr>
      <w:r>
        <w:rPr>
          <w:rFonts w:hint="eastAsia" w:ascii="宋体" w:hAnsi="宋体" w:cs="宋体"/>
          <w:sz w:val="24"/>
        </w:rPr>
        <w:t>日期：                                    日期：</w:t>
      </w:r>
    </w:p>
    <w:p w14:paraId="05243213">
      <w:pPr>
        <w:pStyle w:val="2"/>
        <w:ind w:firstLine="0" w:firstLineChars="0"/>
        <w:jc w:val="left"/>
        <w:rPr>
          <w:rFonts w:eastAsia="仿宋"/>
        </w:rPr>
      </w:pPr>
    </w:p>
    <w:p w14:paraId="58A1C31D">
      <w:pPr>
        <w:pStyle w:val="22"/>
        <w:ind w:firstLine="210"/>
      </w:pPr>
      <w:r>
        <w:rPr>
          <w:rFonts w:hint="eastAsia"/>
        </w:rPr>
        <w:br w:type="page"/>
      </w:r>
    </w:p>
    <w:p w14:paraId="50C722ED">
      <w:pPr>
        <w:spacing w:line="288" w:lineRule="auto"/>
        <w:jc w:val="center"/>
        <w:outlineLvl w:val="0"/>
        <w:rPr>
          <w:rFonts w:hint="eastAsia" w:ascii="宋体" w:hAnsi="宋体" w:cs="宋体"/>
          <w:b/>
          <w:bCs/>
          <w:sz w:val="32"/>
          <w:szCs w:val="32"/>
        </w:rPr>
      </w:pPr>
      <w:bookmarkStart w:id="122" w:name="_Toc22092"/>
      <w:r>
        <w:rPr>
          <w:rFonts w:hint="eastAsia" w:ascii="宋体" w:hAnsi="宋体" w:cs="宋体"/>
          <w:b/>
          <w:bCs/>
          <w:sz w:val="30"/>
          <w:szCs w:val="30"/>
        </w:rPr>
        <w:t>第三章</w:t>
      </w:r>
      <w:bookmarkStart w:id="123" w:name="_Hlk198737940"/>
      <w:bookmarkStart w:id="124" w:name="_Hlk200532316"/>
      <w:bookmarkStart w:id="125" w:name="OLE_LINK17"/>
      <w:r>
        <w:rPr>
          <w:rFonts w:hint="eastAsia" w:ascii="宋体" w:hAnsi="宋体" w:cs="宋体"/>
          <w:b/>
          <w:bCs/>
          <w:sz w:val="30"/>
          <w:szCs w:val="30"/>
        </w:rPr>
        <w:t>招标需求</w:t>
      </w:r>
      <w:bookmarkEnd w:id="122"/>
      <w:bookmarkEnd w:id="123"/>
    </w:p>
    <w:bookmarkEnd w:id="124"/>
    <w:bookmarkEnd w:id="125"/>
    <w:p w14:paraId="0293AD73">
      <w:pPr>
        <w:pStyle w:val="22"/>
        <w:spacing w:after="0" w:line="360" w:lineRule="auto"/>
        <w:ind w:firstLine="482" w:firstLineChars="200"/>
        <w:textAlignment w:val="baseline"/>
        <w:rPr>
          <w:rFonts w:hint="eastAsia" w:ascii="新宋体" w:hAnsi="新宋体" w:eastAsia="新宋体" w:cs="新宋体"/>
          <w:b/>
          <w:bCs/>
          <w:sz w:val="24"/>
        </w:rPr>
      </w:pPr>
      <w:r>
        <w:rPr>
          <w:rFonts w:hint="eastAsia" w:ascii="新宋体" w:hAnsi="新宋体" w:eastAsia="新宋体" w:cs="新宋体"/>
          <w:b/>
          <w:bCs/>
          <w:sz w:val="24"/>
        </w:rPr>
        <w:t>一、服务范围</w:t>
      </w:r>
    </w:p>
    <w:p w14:paraId="7671D5F6">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为保障公路路况车辆改装工作合法合规，需要配合询价人完成公路路况检测车辆改装公告申报及</w:t>
      </w:r>
      <w:r>
        <w:rPr>
          <w:rFonts w:hint="eastAsia" w:ascii="宋体" w:hAnsi="宋体" w:cs="宋体"/>
          <w:lang w:val="en-US" w:eastAsia="zh-CN"/>
        </w:rPr>
        <w:t>后续改装</w:t>
      </w:r>
      <w:r>
        <w:rPr>
          <w:rFonts w:hint="eastAsia" w:ascii="宋体" w:hAnsi="宋体" w:cs="宋体"/>
        </w:rPr>
        <w:t>全流程服务。具体车型需符合检测作业要求，服务内容包括但不限于：</w:t>
      </w:r>
      <w:r>
        <w:rPr>
          <w:rFonts w:hint="eastAsia" w:ascii="宋体" w:hAnsi="宋体" w:cs="宋体"/>
          <w:b/>
          <w:bCs/>
        </w:rPr>
        <w:t>提供用于公告申报的测试车辆</w:t>
      </w:r>
      <w:r>
        <w:rPr>
          <w:rFonts w:hint="eastAsia" w:ascii="宋体" w:hAnsi="宋体" w:cs="宋体"/>
        </w:rPr>
        <w:t>、拟申报车辆技术方案合规性审核、申报材料编制（含技术参数备案、检测报告对接）、公路路况车辆改装技术标准制定、改装公告文本编制、公告发布（涵盖政府指定平台、行业媒体等渠道）、潜在改装单位咨询答疑、改装方案合规性审核、工信部及地方主管部门沟通协调、公告申报系统操作、公告获批后的资料归档及后续答疑、</w:t>
      </w:r>
      <w:r>
        <w:rPr>
          <w:rFonts w:hint="eastAsia" w:ascii="宋体" w:hAnsi="宋体" w:cs="宋体"/>
          <w:lang w:val="en-US" w:eastAsia="zh-CN"/>
        </w:rPr>
        <w:t>后续</w:t>
      </w:r>
      <w:r>
        <w:rPr>
          <w:rFonts w:hint="eastAsia" w:ascii="宋体" w:hAnsi="宋体" w:cs="宋体"/>
        </w:rPr>
        <w:t>按照公告批复要求对车辆进行改装等全流程服务。</w:t>
      </w:r>
    </w:p>
    <w:p w14:paraId="082A3FA0">
      <w:pPr>
        <w:pStyle w:val="22"/>
        <w:spacing w:after="0" w:line="360" w:lineRule="auto"/>
        <w:ind w:firstLine="482" w:firstLineChars="200"/>
        <w:textAlignment w:val="baseline"/>
        <w:rPr>
          <w:rFonts w:hint="eastAsia" w:ascii="新宋体" w:hAnsi="新宋体" w:eastAsia="新宋体" w:cs="新宋体"/>
          <w:b/>
          <w:bCs/>
          <w:sz w:val="24"/>
        </w:rPr>
      </w:pPr>
      <w:r>
        <w:rPr>
          <w:rFonts w:hint="eastAsia" w:ascii="新宋体" w:hAnsi="新宋体" w:eastAsia="新宋体" w:cs="新宋体"/>
          <w:b/>
          <w:bCs/>
          <w:sz w:val="24"/>
        </w:rPr>
        <w:t>二、申报周期</w:t>
      </w:r>
    </w:p>
    <w:p w14:paraId="57D78DE7">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自合同签订之日起，100个工作日内取得《道路机动车辆生产企业及产品公告》批复。</w:t>
      </w:r>
    </w:p>
    <w:p w14:paraId="036BBA47">
      <w:pPr>
        <w:pStyle w:val="22"/>
        <w:spacing w:after="0" w:line="360" w:lineRule="auto"/>
        <w:ind w:firstLine="482" w:firstLineChars="200"/>
        <w:textAlignment w:val="baseline"/>
        <w:rPr>
          <w:rFonts w:hint="eastAsia" w:ascii="新宋体" w:hAnsi="新宋体" w:eastAsia="新宋体" w:cs="新宋体"/>
          <w:b/>
          <w:bCs/>
          <w:sz w:val="24"/>
        </w:rPr>
      </w:pPr>
      <w:r>
        <w:rPr>
          <w:rFonts w:hint="eastAsia" w:ascii="新宋体" w:hAnsi="新宋体" w:eastAsia="新宋体" w:cs="新宋体"/>
          <w:b/>
          <w:bCs/>
          <w:sz w:val="24"/>
        </w:rPr>
        <w:t>三、申报要求</w:t>
      </w:r>
    </w:p>
    <w:p w14:paraId="56D5E3B9">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（一）申报车辆要求</w:t>
      </w:r>
    </w:p>
    <w:p w14:paraId="668E174E">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1、车辆需适应平原、山区、高海拔、泥泞、砂石等各种复杂路况；</w:t>
      </w:r>
    </w:p>
    <w:p w14:paraId="74210923">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2、车辆动力类型为插电混动技术四驱越野车，纯电里程不小200公里，发动机排量不小于1.5T，具备行车充电功能，油品为汽油；</w:t>
      </w:r>
    </w:p>
    <w:p w14:paraId="326882F2">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3、车辆为五座车，车顶需有行李架安装支点，车辆底盘离地间隙不小于200mm；</w:t>
      </w:r>
    </w:p>
    <w:p w14:paraId="6E7441DF">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4、后备箱空间长宽高不小于700mmx600mmx550mm，须具备220V电源且功率不小于2000W，后备箱开门方式为单侧平开；</w:t>
      </w:r>
    </w:p>
    <w:p w14:paraId="7D0FFE8B">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5、车辆前保险杠具备小牛栏安装接口；</w:t>
      </w:r>
    </w:p>
    <w:p w14:paraId="69A5287C">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6、车辆总价为15-25万元。</w:t>
      </w:r>
    </w:p>
    <w:p w14:paraId="000EFEFB">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（二）申报结果要求</w:t>
      </w:r>
    </w:p>
    <w:p w14:paraId="5A58A62B">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本项目所申报的公告车型批复需授权采购人作为总经销，授权期限需覆盖公告有效期，未经采购人书面同意，不得将该车型授权给第三方经销或销售；</w:t>
      </w:r>
    </w:p>
    <w:p w14:paraId="15EBA84D">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（三）</w:t>
      </w:r>
      <w:r>
        <w:rPr>
          <w:rFonts w:hint="eastAsia" w:ascii="宋体" w:hAnsi="宋体" w:cs="宋体"/>
          <w:lang w:val="en-US" w:eastAsia="zh-CN"/>
        </w:rPr>
        <w:t>后续</w:t>
      </w:r>
      <w:r>
        <w:rPr>
          <w:rFonts w:hint="eastAsia" w:ascii="宋体" w:hAnsi="宋体" w:cs="宋体"/>
        </w:rPr>
        <w:t>改装服务要求</w:t>
      </w:r>
    </w:p>
    <w:p w14:paraId="0CA44993">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1、后续我方购买车辆时，供应商按照公告批复要求对车辆进行改装，改装服务费为本次招标的中标价。</w:t>
      </w:r>
    </w:p>
    <w:p w14:paraId="15A73757">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2、未经采购人书面同意，不得将该改装车型私自销售或授权给第三方经销及销售；</w:t>
      </w:r>
    </w:p>
    <w:p w14:paraId="4B02BB27">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3、需承诺车辆公告获批后，可配合完成车辆上牌、专用设备安装调试的技术衔接。</w:t>
      </w:r>
    </w:p>
    <w:p w14:paraId="42D2AA00">
      <w:pPr>
        <w:pStyle w:val="20"/>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（四）其他要求</w:t>
      </w:r>
    </w:p>
    <w:p w14:paraId="26D08BE2">
      <w:pPr>
        <w:pStyle w:val="20"/>
        <w:widowControl/>
        <w:spacing w:before="75" w:beforeAutospacing="0" w:after="75" w:afterAutospacing="0" w:line="360" w:lineRule="auto"/>
        <w:ind w:firstLine="480" w:firstLineChars="200"/>
        <w:rPr>
          <w:rFonts w:hint="eastAsia" w:ascii="宋体" w:hAnsi="宋体" w:cs="宋体"/>
        </w:rPr>
      </w:pPr>
      <w:bookmarkStart w:id="126" w:name="OLE_LINK6"/>
      <w:r>
        <w:rPr>
          <w:rFonts w:hint="eastAsia" w:ascii="宋体" w:hAnsi="宋体" w:cs="宋体"/>
        </w:rPr>
        <w:t>提供改装车辆车型信息（底盘品牌及型号、轴距、承载能力、动力类型等）；提供样车（或同类车型）实拍图、技术参数表</w:t>
      </w:r>
      <w:bookmarkEnd w:id="126"/>
      <w:r>
        <w:rPr>
          <w:rFonts w:hint="eastAsia" w:ascii="宋体" w:hAnsi="宋体" w:cs="宋体"/>
        </w:rPr>
        <w:t>。</w:t>
      </w:r>
    </w:p>
    <w:p w14:paraId="29931453">
      <w:pPr>
        <w:pStyle w:val="22"/>
        <w:spacing w:after="0" w:line="360" w:lineRule="auto"/>
        <w:ind w:firstLine="482" w:firstLineChars="200"/>
        <w:textAlignment w:val="baseline"/>
        <w:rPr>
          <w:rFonts w:hint="eastAsia" w:ascii="新宋体" w:hAnsi="新宋体" w:eastAsia="新宋体" w:cs="新宋体"/>
          <w:b/>
          <w:bCs/>
          <w:sz w:val="24"/>
        </w:rPr>
      </w:pPr>
      <w:r>
        <w:rPr>
          <w:rFonts w:hint="eastAsia" w:ascii="新宋体" w:hAnsi="新宋体" w:eastAsia="新宋体" w:cs="新宋体"/>
          <w:b/>
          <w:bCs/>
          <w:sz w:val="24"/>
        </w:rPr>
        <w:t>四、报价要求</w:t>
      </w:r>
    </w:p>
    <w:p w14:paraId="0A7F88FA">
      <w:pPr>
        <w:pStyle w:val="22"/>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（一）投标人根据招标人需求如实填报，如发现弄虚作假，作否决其投标处理。</w:t>
      </w:r>
    </w:p>
    <w:p w14:paraId="59B6839C">
      <w:pPr>
        <w:pStyle w:val="22"/>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（二）服务单价不得超过招标人给定的限制单价。</w:t>
      </w:r>
    </w:p>
    <w:p w14:paraId="49E3D8A1">
      <w:pPr>
        <w:pStyle w:val="22"/>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（三）报价比例（%）=服务单价÷限制单价×100</w:t>
      </w:r>
    </w:p>
    <w:p w14:paraId="44FA73FA">
      <w:pPr>
        <w:pStyle w:val="22"/>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（四）合价=服务单价×数量。</w:t>
      </w:r>
    </w:p>
    <w:p w14:paraId="57400F57">
      <w:pPr>
        <w:pStyle w:val="22"/>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（五）总价为各分项合价总和。最终以核算的总价为评标依据。</w:t>
      </w:r>
    </w:p>
    <w:p w14:paraId="4F996E6C">
      <w:pPr>
        <w:pStyle w:val="22"/>
        <w:spacing w:after="0" w:line="360" w:lineRule="auto"/>
        <w:ind w:firstLine="480" w:firstLineChars="200"/>
        <w:textAlignment w:val="baseline"/>
        <w:rPr>
          <w:rFonts w:hint="eastAsia" w:ascii="新宋体" w:hAnsi="新宋体" w:eastAsia="新宋体" w:cs="新宋体"/>
          <w:sz w:val="24"/>
          <w:lang w:val="zh-CN"/>
        </w:rPr>
      </w:pPr>
      <w:r>
        <w:rPr>
          <w:rFonts w:hint="eastAsia" w:ascii="新宋体" w:hAnsi="新宋体" w:eastAsia="新宋体" w:cs="新宋体"/>
          <w:sz w:val="24"/>
        </w:rPr>
        <w:t>（六）</w:t>
      </w:r>
      <w:r>
        <w:rPr>
          <w:rFonts w:hint="eastAsia" w:ascii="新宋体" w:hAnsi="新宋体" w:eastAsia="新宋体" w:cs="新宋体"/>
          <w:sz w:val="24"/>
          <w:lang w:val="zh-CN"/>
        </w:rPr>
        <w:t>投标文件有1项服务单价高于限制单价的，视为无效报价，作否决其投标处理。</w:t>
      </w:r>
    </w:p>
    <w:p w14:paraId="4C2DFBB4">
      <w:pPr>
        <w:adjustRightInd w:val="0"/>
        <w:snapToGrid w:val="0"/>
        <w:spacing w:line="360" w:lineRule="auto"/>
        <w:jc w:val="left"/>
        <w:rPr>
          <w:rFonts w:hint="eastAsia" w:ascii="宋体" w:hAnsi="宋体" w:cs="宋体"/>
          <w:b/>
          <w:bCs/>
          <w:sz w:val="30"/>
          <w:szCs w:val="30"/>
        </w:rPr>
      </w:pPr>
      <w:r>
        <w:rPr>
          <w:rFonts w:ascii="宋体" w:hAnsi="宋体"/>
          <w:color w:val="FF0000"/>
          <w:sz w:val="24"/>
        </w:rPr>
        <w:br w:type="page"/>
      </w:r>
    </w:p>
    <w:p w14:paraId="1B1DF365">
      <w:pPr>
        <w:adjustRightInd w:val="0"/>
        <w:snapToGrid w:val="0"/>
        <w:spacing w:line="360" w:lineRule="auto"/>
        <w:ind w:firstLine="602" w:firstLineChars="200"/>
        <w:jc w:val="center"/>
        <w:rPr>
          <w:rFonts w:hint="eastAsia" w:ascii="宋体" w:hAnsi="宋体" w:cs="宋体"/>
          <w:b/>
          <w:bCs/>
          <w:sz w:val="30"/>
          <w:szCs w:val="30"/>
        </w:rPr>
      </w:pPr>
    </w:p>
    <w:p w14:paraId="670F3CB6">
      <w:pPr>
        <w:adjustRightInd w:val="0"/>
        <w:snapToGrid w:val="0"/>
        <w:spacing w:line="360" w:lineRule="auto"/>
        <w:ind w:firstLine="602" w:firstLineChars="200"/>
        <w:jc w:val="center"/>
        <w:rPr>
          <w:rFonts w:hint="eastAsia" w:ascii="宋体" w:hAnsi="宋体" w:cs="宋体"/>
          <w:b/>
          <w:bCs/>
          <w:sz w:val="30"/>
          <w:szCs w:val="30"/>
        </w:rPr>
      </w:pPr>
    </w:p>
    <w:p w14:paraId="4E98F5D9">
      <w:pPr>
        <w:adjustRightInd w:val="0"/>
        <w:snapToGrid w:val="0"/>
        <w:spacing w:line="360" w:lineRule="auto"/>
        <w:ind w:firstLine="602" w:firstLineChars="200"/>
        <w:jc w:val="center"/>
        <w:rPr>
          <w:rFonts w:hint="eastAsia" w:ascii="宋体" w:hAnsi="宋体" w:cs="宋体"/>
          <w:b/>
          <w:bCs/>
          <w:sz w:val="30"/>
          <w:szCs w:val="30"/>
        </w:rPr>
      </w:pPr>
    </w:p>
    <w:p w14:paraId="5D1C569A">
      <w:pPr>
        <w:adjustRightInd w:val="0"/>
        <w:snapToGrid w:val="0"/>
        <w:spacing w:line="360" w:lineRule="auto"/>
        <w:ind w:firstLine="602" w:firstLineChars="200"/>
        <w:jc w:val="center"/>
        <w:rPr>
          <w:rFonts w:hint="eastAsia" w:ascii="宋体" w:hAnsi="宋体" w:cs="宋体"/>
          <w:b/>
          <w:bCs/>
          <w:sz w:val="30"/>
          <w:szCs w:val="30"/>
        </w:rPr>
      </w:pPr>
    </w:p>
    <w:p w14:paraId="23334ACF">
      <w:pPr>
        <w:adjustRightInd w:val="0"/>
        <w:snapToGrid w:val="0"/>
        <w:spacing w:line="360" w:lineRule="auto"/>
        <w:ind w:firstLine="602" w:firstLineChars="200"/>
        <w:jc w:val="center"/>
        <w:rPr>
          <w:rFonts w:hint="eastAsia" w:ascii="宋体" w:hAnsi="宋体" w:cs="宋体"/>
          <w:b/>
          <w:bCs/>
          <w:sz w:val="30"/>
          <w:szCs w:val="30"/>
        </w:rPr>
      </w:pPr>
    </w:p>
    <w:p w14:paraId="01C99A28">
      <w:pPr>
        <w:adjustRightInd w:val="0"/>
        <w:snapToGrid w:val="0"/>
        <w:spacing w:line="360" w:lineRule="auto"/>
        <w:ind w:firstLine="602" w:firstLineChars="200"/>
        <w:jc w:val="center"/>
        <w:rPr>
          <w:rFonts w:hint="eastAsia" w:ascii="宋体" w:hAnsi="宋体" w:cs="宋体"/>
          <w:b/>
          <w:bCs/>
          <w:sz w:val="30"/>
          <w:szCs w:val="30"/>
        </w:rPr>
      </w:pPr>
    </w:p>
    <w:p w14:paraId="2E2B916D">
      <w:pPr>
        <w:adjustRightInd w:val="0"/>
        <w:snapToGrid w:val="0"/>
        <w:spacing w:line="360" w:lineRule="auto"/>
        <w:ind w:firstLine="602" w:firstLineChars="200"/>
        <w:jc w:val="center"/>
        <w:rPr>
          <w:rFonts w:hint="eastAsia" w:ascii="宋体" w:hAnsi="宋体" w:cs="宋体"/>
          <w:b/>
          <w:bCs/>
          <w:sz w:val="30"/>
          <w:szCs w:val="30"/>
        </w:rPr>
      </w:pPr>
    </w:p>
    <w:p w14:paraId="5876D279">
      <w:pPr>
        <w:adjustRightInd w:val="0"/>
        <w:snapToGrid w:val="0"/>
        <w:spacing w:line="360" w:lineRule="auto"/>
        <w:jc w:val="center"/>
        <w:outlineLvl w:val="0"/>
        <w:rPr>
          <w:rFonts w:hint="eastAsia" w:ascii="宋体" w:hAnsi="宋体" w:cs="宋体"/>
          <w:b/>
          <w:bCs/>
          <w:sz w:val="30"/>
          <w:szCs w:val="30"/>
        </w:rPr>
      </w:pPr>
      <w:bookmarkStart w:id="127" w:name="_Toc18569"/>
      <w:r>
        <w:rPr>
          <w:rFonts w:hint="eastAsia" w:ascii="宋体" w:hAnsi="宋体" w:cs="宋体"/>
          <w:b/>
          <w:bCs/>
          <w:sz w:val="30"/>
          <w:szCs w:val="30"/>
        </w:rPr>
        <w:t>第四章询价文件格式</w:t>
      </w:r>
      <w:bookmarkEnd w:id="127"/>
    </w:p>
    <w:p w14:paraId="61754E90">
      <w:pPr>
        <w:adjustRightInd w:val="0"/>
        <w:snapToGrid w:val="0"/>
        <w:spacing w:line="360" w:lineRule="auto"/>
        <w:jc w:val="center"/>
        <w:rPr>
          <w:rFonts w:hint="eastAsia" w:ascii="宋体" w:hAnsi="宋体" w:cs="宋体"/>
          <w:b/>
          <w:bCs/>
          <w:sz w:val="24"/>
        </w:rPr>
      </w:pPr>
      <w:r>
        <w:rPr>
          <w:rFonts w:hint="eastAsia" w:ascii="宋体" w:hAnsi="宋体" w:cs="宋体"/>
          <w:b/>
          <w:sz w:val="30"/>
          <w:szCs w:val="30"/>
        </w:rPr>
        <w:br w:type="page"/>
      </w:r>
      <w:bookmarkStart w:id="128" w:name="_Toc3962000"/>
      <w:r>
        <w:rPr>
          <w:rFonts w:hint="eastAsia" w:ascii="Arial" w:hAnsi="Arial" w:eastAsia="黑体ＣＳ"/>
          <w:b/>
          <w:bCs/>
          <w:sz w:val="36"/>
          <w:lang w:bidi="he-IL"/>
        </w:rPr>
        <w:t>正（副）本</w:t>
      </w:r>
      <w:bookmarkEnd w:id="128"/>
    </w:p>
    <w:p w14:paraId="6C53C5A6">
      <w:pPr>
        <w:rPr>
          <w:rFonts w:ascii="黑体" w:hAnsi="Arial" w:eastAsia="黑体" w:cs="Arial"/>
          <w:sz w:val="32"/>
        </w:rPr>
      </w:pPr>
    </w:p>
    <w:p w14:paraId="64D25B40">
      <w:pPr>
        <w:jc w:val="center"/>
        <w:rPr>
          <w:rFonts w:ascii="Arial" w:hAnsi="Arial" w:eastAsia="黑体" w:cs="Arial"/>
          <w:b/>
          <w:sz w:val="56"/>
          <w:szCs w:val="22"/>
        </w:rPr>
      </w:pPr>
      <w:r>
        <w:rPr>
          <w:rFonts w:hint="eastAsia" w:eastAsia="黑体"/>
          <w:b/>
          <w:sz w:val="44"/>
          <w:szCs w:val="44"/>
        </w:rPr>
        <w:t>公路路况车辆改装公告申报及后续改装服务采购</w:t>
      </w:r>
    </w:p>
    <w:p w14:paraId="7503A075">
      <w:pPr>
        <w:ind w:firstLine="2479" w:firstLineChars="343"/>
        <w:rPr>
          <w:rFonts w:ascii="Arial" w:hAnsi="Arial" w:eastAsia="黑体" w:cs="Arial"/>
          <w:b/>
          <w:sz w:val="72"/>
        </w:rPr>
      </w:pPr>
    </w:p>
    <w:p w14:paraId="272F8C29">
      <w:pPr>
        <w:rPr>
          <w:rFonts w:ascii="Arial" w:hAnsi="Arial" w:eastAsia="黑体" w:cs="Arial"/>
          <w:b/>
          <w:sz w:val="84"/>
          <w:szCs w:val="84"/>
        </w:rPr>
      </w:pPr>
    </w:p>
    <w:p w14:paraId="6620CAD9">
      <w:pPr>
        <w:jc w:val="center"/>
        <w:rPr>
          <w:rFonts w:ascii="Arial" w:hAnsi="Arial" w:eastAsia="黑体" w:cs="Arial"/>
          <w:sz w:val="84"/>
          <w:szCs w:val="84"/>
        </w:rPr>
      </w:pPr>
      <w:r>
        <w:rPr>
          <w:rFonts w:hint="eastAsia" w:ascii="Arial" w:hAnsi="Arial" w:eastAsia="黑体" w:cs="Arial"/>
          <w:b/>
          <w:sz w:val="84"/>
          <w:szCs w:val="84"/>
        </w:rPr>
        <w:t>响应文件</w:t>
      </w:r>
    </w:p>
    <w:p w14:paraId="1312CB64">
      <w:pPr>
        <w:jc w:val="center"/>
        <w:rPr>
          <w:rFonts w:ascii="Arial" w:hAnsi="Arial" w:eastAsia="黑体" w:cs="Arial"/>
          <w:sz w:val="32"/>
        </w:rPr>
      </w:pPr>
    </w:p>
    <w:p w14:paraId="531165A9">
      <w:pPr>
        <w:jc w:val="center"/>
        <w:rPr>
          <w:rFonts w:ascii="Arial" w:hAnsi="Arial" w:eastAsia="黑体" w:cs="Arial"/>
          <w:sz w:val="32"/>
        </w:rPr>
      </w:pPr>
    </w:p>
    <w:p w14:paraId="5D75F649">
      <w:pPr>
        <w:jc w:val="center"/>
        <w:rPr>
          <w:rFonts w:ascii="Arial" w:hAnsi="Arial" w:eastAsia="黑体" w:cs="Arial"/>
          <w:sz w:val="32"/>
        </w:rPr>
      </w:pPr>
    </w:p>
    <w:p w14:paraId="11762BF5">
      <w:pPr>
        <w:jc w:val="center"/>
        <w:rPr>
          <w:rFonts w:ascii="Arial" w:hAnsi="Arial" w:eastAsia="黑体" w:cs="Arial"/>
          <w:sz w:val="32"/>
        </w:rPr>
      </w:pPr>
    </w:p>
    <w:p w14:paraId="7D811CE2">
      <w:pPr>
        <w:jc w:val="center"/>
        <w:rPr>
          <w:rFonts w:ascii="Arial" w:hAnsi="Arial" w:eastAsia="黑体" w:cs="Arial"/>
          <w:sz w:val="32"/>
        </w:rPr>
      </w:pPr>
    </w:p>
    <w:p w14:paraId="5D3E03DC">
      <w:pPr>
        <w:rPr>
          <w:rFonts w:ascii="Arial" w:hAnsi="Arial" w:eastAsia="黑体" w:cs="Arial"/>
          <w:sz w:val="32"/>
        </w:rPr>
      </w:pPr>
    </w:p>
    <w:p w14:paraId="2F26EF35">
      <w:pPr>
        <w:ind w:firstLine="640" w:firstLineChars="200"/>
        <w:rPr>
          <w:rFonts w:ascii="Arial" w:hAnsi="Arial" w:eastAsia="黑体" w:cs="Arial"/>
          <w:sz w:val="32"/>
        </w:rPr>
      </w:pPr>
      <w:r>
        <w:rPr>
          <w:rFonts w:hint="eastAsia" w:ascii="Arial" w:hAnsi="Arial" w:eastAsia="黑体" w:cs="Arial"/>
          <w:sz w:val="32"/>
        </w:rPr>
        <w:t>采购人：</w:t>
      </w:r>
      <w:r>
        <w:rPr>
          <w:rFonts w:hint="eastAsia" w:ascii="Arial" w:hAnsi="Arial" w:eastAsia="黑体" w:cs="Arial"/>
          <w:sz w:val="32"/>
          <w:u w:val="single"/>
        </w:rPr>
        <w:t>安徽交检交通发展研究中心有限责任公司</w:t>
      </w:r>
    </w:p>
    <w:p w14:paraId="03B38765">
      <w:pPr>
        <w:ind w:firstLine="1760" w:firstLineChars="550"/>
        <w:rPr>
          <w:rFonts w:ascii="Arial" w:hAnsi="Arial" w:eastAsia="黑体" w:cs="Arial"/>
          <w:sz w:val="32"/>
        </w:rPr>
      </w:pPr>
    </w:p>
    <w:p w14:paraId="195DD794">
      <w:pPr>
        <w:ind w:firstLine="640" w:firstLineChars="200"/>
        <w:rPr>
          <w:rFonts w:ascii="Arial" w:hAnsi="Arial" w:eastAsia="黑体" w:cs="Arial"/>
          <w:sz w:val="32"/>
        </w:rPr>
      </w:pPr>
      <w:r>
        <w:rPr>
          <w:rFonts w:hint="eastAsia" w:ascii="Arial" w:hAnsi="Arial" w:eastAsia="黑体" w:cs="Arial"/>
          <w:sz w:val="32"/>
        </w:rPr>
        <w:t>响应单位：</w:t>
      </w:r>
      <w:r>
        <w:rPr>
          <w:rFonts w:hint="eastAsia" w:ascii="Arial" w:hAnsi="Arial" w:eastAsia="黑体" w:cs="Arial"/>
          <w:sz w:val="32"/>
          <w:u w:val="single"/>
        </w:rPr>
        <w:t xml:space="preserve">       </w:t>
      </w:r>
      <w:r>
        <w:rPr>
          <w:rFonts w:hint="eastAsia" w:ascii="宋体" w:hAnsi="宋体" w:cs="宋体"/>
          <w:sz w:val="32"/>
          <w:u w:val="single"/>
        </w:rPr>
        <w:t xml:space="preserve"> </w:t>
      </w:r>
      <w:r>
        <w:rPr>
          <w:rFonts w:hint="eastAsia" w:ascii="Arial" w:hAnsi="Arial" w:eastAsia="黑体" w:cs="Arial"/>
          <w:sz w:val="32"/>
        </w:rPr>
        <w:t xml:space="preserve">    </w:t>
      </w:r>
    </w:p>
    <w:p w14:paraId="402410D9">
      <w:pPr>
        <w:ind w:firstLine="3520" w:firstLineChars="1100"/>
        <w:rPr>
          <w:rFonts w:ascii="Arial" w:hAnsi="Arial" w:eastAsia="黑体" w:cs="Arial"/>
          <w:sz w:val="32"/>
        </w:rPr>
      </w:pPr>
      <w:r>
        <w:rPr>
          <w:rFonts w:hint="eastAsia" w:ascii="Arial" w:hAnsi="Arial" w:eastAsia="黑体" w:cs="Arial"/>
          <w:sz w:val="32"/>
        </w:rPr>
        <w:t>年    月    日</w:t>
      </w:r>
    </w:p>
    <w:p w14:paraId="42A724A1">
      <w:pPr>
        <w:spacing w:line="360" w:lineRule="auto"/>
        <w:ind w:firstLine="210" w:firstLineChars="100"/>
        <w:jc w:val="center"/>
        <w:rPr>
          <w:rFonts w:hint="eastAsia" w:ascii="宋体" w:hAnsi="宋体" w:cs="宋体"/>
          <w:b/>
          <w:sz w:val="24"/>
        </w:rPr>
      </w:pPr>
      <w:r>
        <w:br w:type="page"/>
      </w:r>
      <w:r>
        <w:rPr>
          <w:rFonts w:hint="eastAsia" w:ascii="宋体" w:hAnsi="宋体" w:cs="宋体"/>
          <w:sz w:val="24"/>
        </w:rPr>
        <w:t>一、投标函</w:t>
      </w:r>
    </w:p>
    <w:p w14:paraId="21351F7D">
      <w:pPr>
        <w:jc w:val="center"/>
        <w:rPr>
          <w:rFonts w:hint="eastAsia" w:ascii="宋体" w:hAnsi="宋体" w:cs="宋体"/>
          <w:b/>
          <w:bCs/>
          <w:sz w:val="24"/>
        </w:rPr>
      </w:pPr>
    </w:p>
    <w:p w14:paraId="0E05C093">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kern w:val="0"/>
          <w:sz w:val="24"/>
        </w:rPr>
        <w:t>安徽交检交通发展研究中心有限责任公司</w:t>
      </w:r>
    </w:p>
    <w:p w14:paraId="0DB989CB">
      <w:pPr>
        <w:spacing w:line="360" w:lineRule="auto"/>
        <w:ind w:firstLine="480"/>
        <w:rPr>
          <w:rFonts w:hint="eastAsia" w:ascii="宋体" w:hAnsi="宋体" w:cs="宋体"/>
          <w:sz w:val="24"/>
        </w:rPr>
      </w:pPr>
      <w:r>
        <w:rPr>
          <w:rFonts w:hint="eastAsia"/>
          <w:sz w:val="24"/>
        </w:rPr>
        <w:t>我方已仔细研究</w:t>
      </w:r>
      <w:r>
        <w:rPr>
          <w:rFonts w:hint="eastAsia" w:ascii="宋体" w:hAnsi="宋体" w:cs="宋体"/>
          <w:sz w:val="24"/>
        </w:rPr>
        <w:t>贵方的</w:t>
      </w:r>
      <w:r>
        <w:rPr>
          <w:rFonts w:hint="eastAsia" w:ascii="宋体" w:hAnsi="宋体" w:cs="宋体"/>
          <w:b/>
          <w:bCs/>
          <w:sz w:val="24"/>
          <w:u w:val="single"/>
        </w:rPr>
        <w:t>公路路况车辆改装公告申报及后续改装服务采购</w:t>
      </w:r>
      <w:r>
        <w:rPr>
          <w:rFonts w:hint="eastAsia" w:ascii="宋体" w:hAnsi="宋体" w:cs="宋体"/>
          <w:sz w:val="24"/>
        </w:rPr>
        <w:t>询价</w:t>
      </w:r>
      <w:r>
        <w:rPr>
          <w:rFonts w:hint="eastAsia"/>
          <w:sz w:val="24"/>
        </w:rPr>
        <w:t>文件的全部内容</w:t>
      </w:r>
      <w:r>
        <w:rPr>
          <w:rFonts w:hint="eastAsia" w:ascii="宋体" w:hAnsi="宋体" w:cs="宋体"/>
          <w:sz w:val="24"/>
        </w:rPr>
        <w:t>，</w:t>
      </w:r>
      <w:r>
        <w:rPr>
          <w:rFonts w:hint="eastAsia"/>
          <w:sz w:val="24"/>
        </w:rPr>
        <w:t>愿意以投标函附录中的投标报价、服务期限、质量标准，提供所投项目的服务，并按合同约定履行义务，</w:t>
      </w:r>
      <w:r>
        <w:rPr>
          <w:rFonts w:hint="eastAsia" w:ascii="宋体" w:hAnsi="宋体" w:cs="宋体"/>
          <w:sz w:val="24"/>
        </w:rPr>
        <w:t>提交下述文件正本一份和副本两份。</w:t>
      </w:r>
    </w:p>
    <w:p w14:paraId="21E7E1AD">
      <w:pPr>
        <w:spacing w:line="360" w:lineRule="auto"/>
        <w:ind w:left="480"/>
        <w:rPr>
          <w:rFonts w:hint="eastAsia" w:ascii="宋体" w:hAnsi="宋体" w:cs="宋体"/>
          <w:sz w:val="24"/>
        </w:rPr>
      </w:pPr>
      <w:r>
        <w:rPr>
          <w:rFonts w:hint="eastAsia" w:ascii="宋体" w:hAnsi="宋体" w:cs="宋体"/>
          <w:sz w:val="24"/>
        </w:rPr>
        <w:t>（1）报价表</w:t>
      </w:r>
    </w:p>
    <w:p w14:paraId="57C974C6">
      <w:pPr>
        <w:spacing w:line="360" w:lineRule="auto"/>
        <w:ind w:left="480"/>
        <w:rPr>
          <w:rFonts w:hint="eastAsia" w:ascii="宋体" w:hAnsi="宋体" w:cs="宋体"/>
          <w:sz w:val="24"/>
        </w:rPr>
      </w:pPr>
      <w:r>
        <w:rPr>
          <w:rFonts w:hint="eastAsia" w:ascii="宋体" w:hAnsi="宋体" w:cs="宋体"/>
          <w:sz w:val="24"/>
        </w:rPr>
        <w:t>（2）按询价须知要求提供的全部文件</w:t>
      </w:r>
    </w:p>
    <w:p w14:paraId="6691C258">
      <w:pPr>
        <w:spacing w:line="360" w:lineRule="auto"/>
        <w:ind w:left="480"/>
        <w:rPr>
          <w:rFonts w:hint="eastAsia" w:ascii="宋体" w:hAnsi="宋体" w:cs="宋体"/>
          <w:sz w:val="24"/>
        </w:rPr>
      </w:pPr>
      <w:r>
        <w:rPr>
          <w:rFonts w:hint="eastAsia" w:ascii="宋体" w:hAnsi="宋体" w:cs="宋体"/>
          <w:sz w:val="24"/>
        </w:rPr>
        <w:t>（3）资格证明文件</w:t>
      </w:r>
    </w:p>
    <w:p w14:paraId="00D991D3">
      <w:pPr>
        <w:spacing w:line="360" w:lineRule="auto"/>
        <w:ind w:firstLine="480" w:firstLineChars="200"/>
        <w:rPr>
          <w:rFonts w:hint="eastAsia" w:ascii="宋体" w:hAnsi="宋体" w:cs="宋体"/>
          <w:sz w:val="24"/>
        </w:rPr>
      </w:pPr>
      <w:r>
        <w:rPr>
          <w:rFonts w:hint="eastAsia" w:ascii="宋体" w:hAnsi="宋体" w:cs="宋体"/>
          <w:sz w:val="24"/>
        </w:rPr>
        <w:t>服务期：</w:t>
      </w:r>
      <w:r>
        <w:rPr>
          <w:rFonts w:hint="eastAsia" w:ascii="宋体" w:hAnsi="宋体" w:cs="宋体"/>
          <w:sz w:val="24"/>
          <w:u w:val="single"/>
        </w:rPr>
        <w:t>自合同签订之日起，100个工作日内取得《道路机动车辆生产企业及产品公告》批复。</w:t>
      </w:r>
    </w:p>
    <w:p w14:paraId="35BBF5B0">
      <w:pPr>
        <w:spacing w:line="360" w:lineRule="auto"/>
        <w:ind w:left="480"/>
        <w:rPr>
          <w:rFonts w:hint="eastAsia" w:ascii="宋体" w:hAnsi="宋体" w:cs="宋体"/>
          <w:sz w:val="24"/>
        </w:rPr>
      </w:pPr>
      <w:r>
        <w:rPr>
          <w:rFonts w:hint="eastAsia" w:ascii="宋体" w:hAnsi="宋体" w:cs="宋体"/>
          <w:sz w:val="24"/>
        </w:rPr>
        <w:t>据此函，签字代表宣布同意如下：</w:t>
      </w:r>
    </w:p>
    <w:p w14:paraId="06CD36F6">
      <w:pPr>
        <w:spacing w:line="360" w:lineRule="auto"/>
        <w:ind w:firstLine="480"/>
        <w:rPr>
          <w:rFonts w:hint="eastAsia" w:ascii="宋体" w:hAnsi="宋体" w:cs="宋体"/>
          <w:sz w:val="24"/>
          <w:u w:val="single"/>
        </w:rPr>
      </w:pPr>
      <w:r>
        <w:rPr>
          <w:rFonts w:hint="eastAsia" w:ascii="宋体" w:hAnsi="宋体" w:cs="宋体"/>
          <w:sz w:val="24"/>
        </w:rPr>
        <w:t>1、所附询价报价表中规定的应提供和交付的服务，报价比例为</w:t>
      </w:r>
      <w:r>
        <w:rPr>
          <w:rFonts w:hint="eastAsia" w:ascii="宋体" w:hAnsi="宋体" w:cs="宋体"/>
          <w:sz w:val="24"/>
          <w:u w:val="single"/>
        </w:rPr>
        <w:t xml:space="preserve">         %</w:t>
      </w:r>
      <w:r>
        <w:rPr>
          <w:rFonts w:hint="eastAsia" w:ascii="宋体" w:hAnsi="宋体" w:cs="宋体"/>
          <w:sz w:val="24"/>
        </w:rPr>
        <w:t>。</w:t>
      </w:r>
    </w:p>
    <w:p w14:paraId="09C22807">
      <w:pPr>
        <w:spacing w:line="360" w:lineRule="auto"/>
        <w:ind w:firstLine="480"/>
        <w:rPr>
          <w:rFonts w:hint="eastAsia" w:ascii="宋体" w:hAnsi="宋体" w:cs="宋体"/>
          <w:sz w:val="24"/>
        </w:rPr>
      </w:pPr>
      <w:r>
        <w:rPr>
          <w:rFonts w:hint="eastAsia" w:ascii="宋体" w:hAnsi="宋体" w:cs="宋体"/>
          <w:sz w:val="24"/>
        </w:rPr>
        <w:t>2、我方将按询价文件的规定履行合同责任和义务。</w:t>
      </w:r>
    </w:p>
    <w:p w14:paraId="788651E8">
      <w:pPr>
        <w:spacing w:line="360" w:lineRule="auto"/>
        <w:ind w:firstLine="480"/>
        <w:rPr>
          <w:rFonts w:hint="eastAsia" w:ascii="宋体" w:hAnsi="宋体" w:cs="宋体"/>
          <w:sz w:val="24"/>
        </w:rPr>
      </w:pPr>
      <w:r>
        <w:rPr>
          <w:rFonts w:hint="eastAsia" w:ascii="宋体" w:hAnsi="宋体" w:cs="宋体"/>
          <w:sz w:val="24"/>
        </w:rPr>
        <w:t>3、我方已详细审查全部询价文件，包括修改文件（如需要修改）以及全部参考资料和有关附件。完全理解并同意放弃对这方面有不明及误解的权利。</w:t>
      </w:r>
    </w:p>
    <w:p w14:paraId="5401286B">
      <w:pPr>
        <w:spacing w:line="360" w:lineRule="auto"/>
        <w:ind w:firstLine="480"/>
        <w:rPr>
          <w:rFonts w:hint="eastAsia" w:ascii="宋体" w:hAnsi="宋体" w:cs="宋体"/>
          <w:sz w:val="24"/>
        </w:rPr>
      </w:pPr>
      <w:r>
        <w:rPr>
          <w:rFonts w:hint="eastAsia" w:ascii="宋体" w:hAnsi="宋体" w:cs="宋体"/>
          <w:sz w:val="24"/>
        </w:rPr>
        <w:t>4、其询价自开标日起有效期为</w:t>
      </w:r>
      <w:r>
        <w:rPr>
          <w:rFonts w:hint="eastAsia" w:ascii="宋体" w:hAnsi="宋体" w:cs="宋体"/>
          <w:sz w:val="24"/>
          <w:u w:val="single"/>
        </w:rPr>
        <w:t xml:space="preserve"> 90 </w:t>
      </w:r>
      <w:r>
        <w:rPr>
          <w:rFonts w:hint="eastAsia" w:ascii="宋体" w:hAnsi="宋体" w:cs="宋体"/>
          <w:sz w:val="24"/>
        </w:rPr>
        <w:t>个日历日。</w:t>
      </w:r>
    </w:p>
    <w:p w14:paraId="4B786384">
      <w:pPr>
        <w:spacing w:line="360" w:lineRule="auto"/>
        <w:ind w:firstLine="480"/>
        <w:rPr>
          <w:rFonts w:hint="eastAsia" w:ascii="宋体" w:hAnsi="宋体" w:cs="宋体"/>
          <w:sz w:val="24"/>
        </w:rPr>
      </w:pPr>
      <w:r>
        <w:rPr>
          <w:rFonts w:hint="eastAsia" w:ascii="宋体" w:hAnsi="宋体" w:cs="宋体"/>
          <w:sz w:val="24"/>
        </w:rPr>
        <w:t>5、我方同意提供按照贵方可能要求的</w:t>
      </w:r>
      <w:r>
        <w:rPr>
          <w:rFonts w:hint="eastAsia" w:ascii="宋体" w:hAnsi="宋体" w:cs="宋体"/>
          <w:kern w:val="0"/>
          <w:szCs w:val="21"/>
        </w:rPr>
        <w:t>与其</w:t>
      </w:r>
      <w:r>
        <w:rPr>
          <w:rFonts w:hint="eastAsia" w:ascii="宋体" w:hAnsi="宋体" w:cs="宋体"/>
          <w:sz w:val="24"/>
        </w:rPr>
        <w:t>询价有关的一切数据或资料，</w:t>
      </w:r>
      <w:r>
        <w:rPr>
          <w:rFonts w:hint="eastAsia" w:ascii="宋体" w:hAnsi="宋体"/>
          <w:sz w:val="24"/>
        </w:rPr>
        <w:t>我方完全理解贵方不一定接受最低报价的投标</w:t>
      </w:r>
      <w:r>
        <w:rPr>
          <w:rFonts w:hint="eastAsia" w:ascii="宋体" w:hAnsi="宋体" w:cs="宋体"/>
          <w:sz w:val="24"/>
        </w:rPr>
        <w:t>。</w:t>
      </w:r>
    </w:p>
    <w:p w14:paraId="648EA634">
      <w:pPr>
        <w:snapToGrid w:val="0"/>
        <w:spacing w:line="360" w:lineRule="auto"/>
        <w:ind w:firstLine="480" w:firstLineChars="200"/>
        <w:rPr>
          <w:rFonts w:hint="eastAsia" w:ascii="宋体" w:hAnsi="宋体" w:cs="宋体"/>
          <w:sz w:val="24"/>
        </w:rPr>
      </w:pPr>
      <w:r>
        <w:rPr>
          <w:rFonts w:hint="eastAsia" w:ascii="宋体" w:hAnsi="宋体" w:cs="宋体"/>
          <w:sz w:val="24"/>
        </w:rPr>
        <w:t>6、我方完全响应询价文件合同条款的要求。</w:t>
      </w:r>
    </w:p>
    <w:p w14:paraId="4F8AFE45">
      <w:pPr>
        <w:spacing w:line="360" w:lineRule="auto"/>
      </w:pPr>
    </w:p>
    <w:p w14:paraId="22496DB1">
      <w:pPr>
        <w:spacing w:line="360" w:lineRule="auto"/>
        <w:ind w:left="900"/>
        <w:rPr>
          <w:rFonts w:hint="eastAsia" w:ascii="宋体" w:hAnsi="宋体" w:cs="宋体"/>
          <w:sz w:val="24"/>
        </w:rPr>
      </w:pPr>
    </w:p>
    <w:p w14:paraId="7601E3DB">
      <w:pPr>
        <w:spacing w:line="360" w:lineRule="auto"/>
        <w:ind w:left="900"/>
        <w:rPr>
          <w:rFonts w:hint="eastAsia" w:ascii="宋体" w:hAnsi="宋体" w:cs="宋体"/>
          <w:sz w:val="24"/>
        </w:rPr>
      </w:pPr>
    </w:p>
    <w:p w14:paraId="418F507B">
      <w:pPr>
        <w:adjustRightInd w:val="0"/>
        <w:snapToGrid w:val="0"/>
        <w:spacing w:line="360" w:lineRule="auto"/>
        <w:jc w:val="right"/>
        <w:rPr>
          <w:bCs/>
          <w:sz w:val="24"/>
          <w:u w:val="single"/>
        </w:rPr>
      </w:pPr>
      <w:r>
        <w:rPr>
          <w:rFonts w:hint="eastAsia"/>
          <w:bCs/>
          <w:spacing w:val="120"/>
          <w:kern w:val="0"/>
          <w:sz w:val="24"/>
          <w:fitText w:val="1200" w:id="1304822625"/>
        </w:rPr>
        <w:t>投标</w:t>
      </w:r>
      <w:r>
        <w:rPr>
          <w:rFonts w:hint="eastAsia"/>
          <w:bCs/>
          <w:spacing w:val="0"/>
          <w:kern w:val="0"/>
          <w:sz w:val="24"/>
          <w:fitText w:val="1200" w:id="1304822625"/>
        </w:rPr>
        <w:t>人</w:t>
      </w:r>
      <w:r>
        <w:rPr>
          <w:rFonts w:hint="eastAsia"/>
          <w:bCs/>
          <w:sz w:val="24"/>
        </w:rPr>
        <w:t>：</w:t>
      </w:r>
      <w:r>
        <w:rPr>
          <w:rFonts w:hint="eastAsia"/>
          <w:bCs/>
          <w:sz w:val="24"/>
          <w:u w:val="single"/>
        </w:rPr>
        <w:t xml:space="preserve">            </w:t>
      </w:r>
      <w:r>
        <w:rPr>
          <w:rFonts w:hint="eastAsia"/>
          <w:bCs/>
          <w:sz w:val="24"/>
        </w:rPr>
        <w:t>（盖单位章）</w:t>
      </w:r>
    </w:p>
    <w:p w14:paraId="320F4558">
      <w:pPr>
        <w:adjustRightInd w:val="0"/>
        <w:snapToGrid w:val="0"/>
        <w:spacing w:line="360" w:lineRule="auto"/>
        <w:jc w:val="right"/>
        <w:rPr>
          <w:sz w:val="24"/>
        </w:rPr>
      </w:pPr>
      <w:r>
        <w:rPr>
          <w:rFonts w:hint="eastAsia"/>
          <w:spacing w:val="0"/>
          <w:kern w:val="0"/>
          <w:sz w:val="24"/>
          <w:fitText w:val="1200" w:id="174540935"/>
        </w:rPr>
        <w:t>法定代表人</w:t>
      </w:r>
      <w:r>
        <w:rPr>
          <w:rFonts w:hint="eastAsia"/>
          <w:sz w:val="24"/>
        </w:rPr>
        <w:t>：</w:t>
      </w:r>
      <w:r>
        <w:rPr>
          <w:rFonts w:hint="eastAsia"/>
          <w:bCs/>
          <w:sz w:val="24"/>
          <w:u w:val="single"/>
        </w:rPr>
        <w:t xml:space="preserve">          </w:t>
      </w:r>
      <w:r>
        <w:rPr>
          <w:rFonts w:hint="eastAsia"/>
          <w:sz w:val="24"/>
        </w:rPr>
        <w:t>（签字或盖章）</w:t>
      </w:r>
    </w:p>
    <w:p w14:paraId="0EE3FF76">
      <w:pPr>
        <w:adjustRightInd w:val="0"/>
        <w:snapToGrid w:val="0"/>
        <w:spacing w:line="360" w:lineRule="auto"/>
        <w:jc w:val="right"/>
        <w:rPr>
          <w:rFonts w:eastAsia="黑体"/>
          <w:sz w:val="24"/>
        </w:rPr>
      </w:pPr>
      <w:r>
        <w:rPr>
          <w:rFonts w:hint="eastAsia"/>
          <w:bCs/>
          <w:spacing w:val="360"/>
          <w:kern w:val="0"/>
          <w:sz w:val="24"/>
          <w:fitText w:val="1200" w:id="1143680655"/>
        </w:rPr>
        <w:t>日</w:t>
      </w:r>
      <w:r>
        <w:rPr>
          <w:rFonts w:hint="eastAsia"/>
          <w:bCs/>
          <w:spacing w:val="0"/>
          <w:kern w:val="0"/>
          <w:sz w:val="24"/>
          <w:fitText w:val="1200" w:id="1143680655"/>
        </w:rPr>
        <w:t>期</w:t>
      </w:r>
      <w:r>
        <w:rPr>
          <w:rFonts w:hint="eastAsia"/>
          <w:sz w:val="24"/>
        </w:rPr>
        <w:t>：</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5BCC1813">
      <w:pPr>
        <w:spacing w:line="288" w:lineRule="auto"/>
        <w:ind w:left="540"/>
        <w:rPr>
          <w:rFonts w:hint="eastAsia" w:ascii="宋体" w:hAnsi="宋体" w:cs="宋体"/>
          <w:sz w:val="24"/>
        </w:rPr>
      </w:pPr>
    </w:p>
    <w:p w14:paraId="3FC4724F">
      <w:pPr>
        <w:spacing w:line="288" w:lineRule="auto"/>
        <w:ind w:left="540"/>
        <w:rPr>
          <w:rFonts w:hint="eastAsia" w:ascii="宋体" w:hAnsi="宋体" w:cs="宋体"/>
          <w:sz w:val="24"/>
        </w:rPr>
      </w:pPr>
    </w:p>
    <w:p w14:paraId="6E621FA1">
      <w:pPr>
        <w:snapToGrid w:val="0"/>
        <w:spacing w:line="360" w:lineRule="auto"/>
        <w:ind w:firstLine="2380"/>
        <w:rPr>
          <w:rFonts w:hint="eastAsia" w:ascii="宋体" w:hAnsi="宋体" w:cs="宋体"/>
          <w:sz w:val="24"/>
          <w:u w:val="single"/>
        </w:rPr>
      </w:pPr>
    </w:p>
    <w:p w14:paraId="45646903">
      <w:pPr>
        <w:snapToGrid w:val="0"/>
        <w:spacing w:line="360" w:lineRule="auto"/>
        <w:ind w:firstLine="2380"/>
        <w:rPr>
          <w:rFonts w:hint="eastAsia" w:ascii="宋体" w:hAnsi="宋体" w:cs="宋体"/>
          <w:sz w:val="24"/>
          <w:u w:val="single"/>
        </w:rPr>
        <w:sectPr>
          <w:pgSz w:w="11906" w:h="16838"/>
          <w:pgMar w:top="1134" w:right="1134" w:bottom="1134" w:left="1417" w:header="680" w:footer="828" w:gutter="0"/>
          <w:pgNumType w:fmt="numberInDash"/>
          <w:cols w:space="720" w:num="1"/>
          <w:docGrid w:type="lines" w:linePitch="312" w:charSpace="0"/>
        </w:sectPr>
      </w:pPr>
    </w:p>
    <w:p w14:paraId="381D65F1">
      <w:pPr>
        <w:spacing w:line="360" w:lineRule="auto"/>
        <w:jc w:val="center"/>
        <w:rPr>
          <w:rFonts w:hint="eastAsia" w:ascii="宋体" w:hAnsi="宋体" w:cs="宋体"/>
          <w:sz w:val="28"/>
        </w:rPr>
      </w:pPr>
      <w:r>
        <w:rPr>
          <w:rFonts w:hint="eastAsia" w:ascii="宋体" w:hAnsi="宋体" w:cs="宋体"/>
          <w:sz w:val="28"/>
        </w:rPr>
        <w:t>二、报价表</w:t>
      </w:r>
    </w:p>
    <w:p w14:paraId="5ADC9DD3">
      <w:pPr>
        <w:snapToGrid w:val="0"/>
        <w:spacing w:line="360" w:lineRule="auto"/>
        <w:rPr>
          <w:rFonts w:hint="eastAsia" w:ascii="宋体" w:hAnsi="宋体" w:cs="宋体"/>
          <w:sz w:val="24"/>
        </w:rPr>
      </w:pPr>
      <w:r>
        <w:rPr>
          <w:rFonts w:hint="eastAsia" w:ascii="宋体" w:hAnsi="宋体" w:cs="宋体"/>
          <w:sz w:val="24"/>
        </w:rPr>
        <w:t>项目名称：公路路况车辆改装公告申报及后续改装服务采购</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330"/>
        <w:gridCol w:w="559"/>
        <w:gridCol w:w="518"/>
        <w:gridCol w:w="921"/>
        <w:gridCol w:w="844"/>
        <w:gridCol w:w="1275"/>
        <w:gridCol w:w="3637"/>
      </w:tblGrid>
      <w:tr w14:paraId="08C3B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254" w:type="pct"/>
            <w:tcBorders>
              <w:top w:val="single" w:color="auto" w:sz="12" w:space="0"/>
              <w:left w:val="single" w:color="auto" w:sz="12" w:space="0"/>
              <w:bottom w:val="single" w:color="auto" w:sz="4" w:space="0"/>
              <w:right w:val="single" w:color="auto" w:sz="4" w:space="0"/>
            </w:tcBorders>
            <w:vAlign w:val="center"/>
          </w:tcPr>
          <w:p w14:paraId="5C9F883C">
            <w:pPr>
              <w:widowControl/>
              <w:jc w:val="center"/>
              <w:rPr>
                <w:rFonts w:hint="eastAsia" w:ascii="宋体" w:hAnsi="宋体" w:cs="宋体"/>
                <w:bCs/>
                <w:color w:val="000000"/>
                <w:kern w:val="0"/>
                <w:sz w:val="24"/>
                <w:szCs w:val="22"/>
              </w:rPr>
            </w:pPr>
            <w:r>
              <w:rPr>
                <w:rFonts w:hint="eastAsia" w:ascii="宋体" w:hAnsi="宋体" w:cs="宋体"/>
                <w:bCs/>
                <w:color w:val="000000"/>
                <w:kern w:val="0"/>
                <w:sz w:val="24"/>
              </w:rPr>
              <w:t>序号</w:t>
            </w:r>
          </w:p>
        </w:tc>
        <w:tc>
          <w:tcPr>
            <w:tcW w:w="695" w:type="pct"/>
            <w:tcBorders>
              <w:top w:val="single" w:color="auto" w:sz="12" w:space="0"/>
              <w:left w:val="single" w:color="auto" w:sz="4" w:space="0"/>
              <w:bottom w:val="single" w:color="auto" w:sz="4" w:space="0"/>
              <w:right w:val="single" w:color="auto" w:sz="4" w:space="0"/>
            </w:tcBorders>
            <w:vAlign w:val="center"/>
          </w:tcPr>
          <w:p w14:paraId="6F3A44CE">
            <w:pPr>
              <w:widowControl/>
              <w:jc w:val="center"/>
              <w:rPr>
                <w:rFonts w:hint="eastAsia" w:ascii="宋体" w:hAnsi="宋体" w:cs="宋体"/>
                <w:bCs/>
                <w:color w:val="000000"/>
                <w:kern w:val="0"/>
                <w:sz w:val="24"/>
              </w:rPr>
            </w:pPr>
            <w:r>
              <w:rPr>
                <w:rFonts w:hint="eastAsia" w:ascii="宋体" w:hAnsi="宋体" w:cs="宋体"/>
                <w:bCs/>
                <w:color w:val="000000"/>
                <w:kern w:val="0"/>
                <w:sz w:val="24"/>
              </w:rPr>
              <w:t>项目</w:t>
            </w:r>
          </w:p>
        </w:tc>
        <w:tc>
          <w:tcPr>
            <w:tcW w:w="292" w:type="pct"/>
            <w:tcBorders>
              <w:top w:val="single" w:color="auto" w:sz="12" w:space="0"/>
              <w:left w:val="single" w:color="auto" w:sz="4" w:space="0"/>
              <w:bottom w:val="single" w:color="auto" w:sz="4" w:space="0"/>
              <w:right w:val="single" w:color="auto" w:sz="4" w:space="0"/>
            </w:tcBorders>
            <w:vAlign w:val="center"/>
          </w:tcPr>
          <w:p w14:paraId="296E78F7">
            <w:pPr>
              <w:widowControl/>
              <w:jc w:val="center"/>
              <w:rPr>
                <w:rFonts w:hint="eastAsia" w:ascii="宋体" w:hAnsi="宋体" w:cs="宋体"/>
                <w:bCs/>
                <w:color w:val="000000"/>
                <w:kern w:val="0"/>
                <w:sz w:val="24"/>
              </w:rPr>
            </w:pPr>
            <w:r>
              <w:rPr>
                <w:rFonts w:hint="eastAsia" w:ascii="宋体" w:hAnsi="宋体" w:cs="宋体"/>
                <w:bCs/>
                <w:color w:val="000000"/>
                <w:kern w:val="0"/>
                <w:sz w:val="24"/>
              </w:rPr>
              <w:t>数量</w:t>
            </w:r>
          </w:p>
        </w:tc>
        <w:tc>
          <w:tcPr>
            <w:tcW w:w="271" w:type="pct"/>
            <w:tcBorders>
              <w:top w:val="single" w:color="auto" w:sz="12" w:space="0"/>
              <w:left w:val="single" w:color="auto" w:sz="4" w:space="0"/>
              <w:bottom w:val="single" w:color="auto" w:sz="4" w:space="0"/>
              <w:right w:val="single" w:color="auto" w:sz="4" w:space="0"/>
            </w:tcBorders>
            <w:vAlign w:val="center"/>
          </w:tcPr>
          <w:p w14:paraId="0E236563">
            <w:pPr>
              <w:widowControl/>
              <w:jc w:val="center"/>
              <w:rPr>
                <w:rFonts w:hint="eastAsia" w:ascii="宋体" w:hAnsi="宋体" w:cs="宋体"/>
                <w:bCs/>
                <w:color w:val="000000"/>
                <w:kern w:val="0"/>
                <w:sz w:val="24"/>
              </w:rPr>
            </w:pPr>
            <w:r>
              <w:rPr>
                <w:rFonts w:hint="eastAsia" w:ascii="宋体" w:hAnsi="宋体" w:cs="宋体"/>
                <w:bCs/>
                <w:color w:val="000000"/>
                <w:kern w:val="0"/>
                <w:sz w:val="24"/>
              </w:rPr>
              <w:t>单位</w:t>
            </w:r>
          </w:p>
        </w:tc>
        <w:tc>
          <w:tcPr>
            <w:tcW w:w="481" w:type="pct"/>
            <w:tcBorders>
              <w:top w:val="single" w:color="auto" w:sz="12" w:space="0"/>
              <w:left w:val="single" w:color="auto" w:sz="4" w:space="0"/>
              <w:bottom w:val="single" w:color="auto" w:sz="4" w:space="0"/>
              <w:right w:val="single" w:color="auto" w:sz="4" w:space="0"/>
            </w:tcBorders>
            <w:noWrap/>
            <w:vAlign w:val="center"/>
          </w:tcPr>
          <w:p w14:paraId="7EF54FA4">
            <w:pPr>
              <w:widowControl/>
              <w:jc w:val="center"/>
              <w:rPr>
                <w:rFonts w:hint="eastAsia" w:ascii="宋体" w:hAnsi="宋体" w:cs="宋体"/>
                <w:bCs/>
                <w:color w:val="000000"/>
                <w:kern w:val="0"/>
                <w:sz w:val="24"/>
              </w:rPr>
            </w:pPr>
            <w:r>
              <w:rPr>
                <w:rFonts w:hint="eastAsia" w:ascii="宋体" w:hAnsi="宋体" w:cs="宋体"/>
                <w:bCs/>
                <w:color w:val="000000"/>
                <w:kern w:val="0"/>
                <w:sz w:val="24"/>
              </w:rPr>
              <w:t>限制单价</w:t>
            </w:r>
          </w:p>
          <w:p w14:paraId="23FD4E20">
            <w:pPr>
              <w:widowControl/>
              <w:jc w:val="center"/>
              <w:rPr>
                <w:rFonts w:hint="eastAsia" w:ascii="宋体" w:hAnsi="宋体" w:cs="宋体"/>
                <w:color w:val="000000"/>
                <w:kern w:val="0"/>
                <w:sz w:val="24"/>
              </w:rPr>
            </w:pPr>
            <w:r>
              <w:rPr>
                <w:rFonts w:hint="eastAsia" w:ascii="宋体" w:hAnsi="宋体" w:cs="宋体"/>
                <w:color w:val="000000"/>
                <w:kern w:val="0"/>
                <w:sz w:val="24"/>
              </w:rPr>
              <w:t>（万元）</w:t>
            </w:r>
          </w:p>
        </w:tc>
        <w:tc>
          <w:tcPr>
            <w:tcW w:w="439" w:type="pct"/>
            <w:tcBorders>
              <w:top w:val="single" w:color="auto" w:sz="12" w:space="0"/>
              <w:left w:val="single" w:color="auto" w:sz="4" w:space="0"/>
              <w:bottom w:val="single" w:color="auto" w:sz="4" w:space="0"/>
              <w:right w:val="single" w:color="auto" w:sz="12" w:space="0"/>
            </w:tcBorders>
            <w:noWrap/>
            <w:vAlign w:val="center"/>
          </w:tcPr>
          <w:p w14:paraId="47AAEBBB">
            <w:pPr>
              <w:widowControl/>
              <w:jc w:val="center"/>
              <w:rPr>
                <w:rFonts w:hint="eastAsia" w:ascii="宋体" w:hAnsi="宋体" w:cs="宋体"/>
                <w:bCs/>
                <w:color w:val="000000"/>
                <w:kern w:val="0"/>
                <w:sz w:val="24"/>
              </w:rPr>
            </w:pPr>
            <w:r>
              <w:rPr>
                <w:rFonts w:hint="eastAsia" w:ascii="宋体" w:hAnsi="宋体" w:cs="宋体"/>
                <w:bCs/>
                <w:color w:val="000000"/>
                <w:kern w:val="0"/>
                <w:sz w:val="24"/>
              </w:rPr>
              <w:t>报价比例</w:t>
            </w:r>
          </w:p>
          <w:p w14:paraId="03223111">
            <w:pPr>
              <w:widowControl/>
              <w:jc w:val="center"/>
              <w:rPr>
                <w:rFonts w:hint="eastAsia" w:ascii="宋体" w:hAnsi="宋体" w:cs="宋体"/>
                <w:bCs/>
                <w:color w:val="000000"/>
                <w:kern w:val="0"/>
                <w:sz w:val="24"/>
              </w:rPr>
            </w:pPr>
            <w:r>
              <w:rPr>
                <w:rFonts w:hint="eastAsia" w:ascii="宋体" w:hAnsi="宋体" w:cs="宋体"/>
                <w:bCs/>
                <w:color w:val="000000"/>
                <w:kern w:val="0"/>
                <w:sz w:val="24"/>
              </w:rPr>
              <w:t>（%）</w:t>
            </w:r>
          </w:p>
        </w:tc>
        <w:tc>
          <w:tcPr>
            <w:tcW w:w="666" w:type="pct"/>
            <w:tcBorders>
              <w:top w:val="single" w:color="auto" w:sz="12" w:space="0"/>
              <w:left w:val="single" w:color="auto" w:sz="4" w:space="0"/>
              <w:bottom w:val="single" w:color="auto" w:sz="4" w:space="0"/>
              <w:right w:val="single" w:color="auto" w:sz="12" w:space="0"/>
            </w:tcBorders>
            <w:noWrap/>
            <w:vAlign w:val="center"/>
          </w:tcPr>
          <w:p w14:paraId="51C0FB44">
            <w:pPr>
              <w:widowControl/>
              <w:jc w:val="center"/>
              <w:rPr>
                <w:rFonts w:hint="eastAsia" w:ascii="宋体" w:hAnsi="宋体" w:cs="宋体"/>
                <w:bCs/>
                <w:color w:val="000000"/>
                <w:kern w:val="0"/>
                <w:sz w:val="24"/>
              </w:rPr>
            </w:pPr>
            <w:r>
              <w:rPr>
                <w:rFonts w:hint="eastAsia" w:ascii="宋体" w:hAnsi="宋体" w:cs="宋体"/>
                <w:bCs/>
                <w:color w:val="000000"/>
                <w:kern w:val="0"/>
                <w:sz w:val="24"/>
              </w:rPr>
              <w:t>报价</w:t>
            </w:r>
          </w:p>
          <w:p w14:paraId="73745258">
            <w:pPr>
              <w:widowControl/>
              <w:jc w:val="center"/>
              <w:rPr>
                <w:rFonts w:hint="eastAsia" w:ascii="宋体" w:hAnsi="宋体" w:cs="宋体"/>
                <w:bCs/>
                <w:color w:val="000000"/>
                <w:kern w:val="0"/>
                <w:sz w:val="24"/>
              </w:rPr>
            </w:pPr>
            <w:r>
              <w:rPr>
                <w:rFonts w:hint="eastAsia" w:ascii="宋体" w:hAnsi="宋体" w:cs="宋体"/>
                <w:bCs/>
                <w:color w:val="000000"/>
                <w:kern w:val="0"/>
                <w:sz w:val="24"/>
              </w:rPr>
              <w:t>（万元）</w:t>
            </w:r>
          </w:p>
        </w:tc>
        <w:tc>
          <w:tcPr>
            <w:tcW w:w="1898" w:type="pct"/>
            <w:tcBorders>
              <w:top w:val="single" w:color="auto" w:sz="12" w:space="0"/>
              <w:left w:val="single" w:color="auto" w:sz="4" w:space="0"/>
              <w:bottom w:val="single" w:color="auto" w:sz="4" w:space="0"/>
              <w:right w:val="single" w:color="auto" w:sz="12" w:space="0"/>
            </w:tcBorders>
            <w:noWrap/>
            <w:vAlign w:val="center"/>
          </w:tcPr>
          <w:p w14:paraId="5087E75D">
            <w:pPr>
              <w:widowControl/>
              <w:jc w:val="center"/>
              <w:rPr>
                <w:rFonts w:hint="eastAsia" w:ascii="宋体" w:hAnsi="宋体" w:cs="宋体"/>
                <w:bCs/>
                <w:color w:val="000000"/>
                <w:kern w:val="0"/>
                <w:sz w:val="24"/>
              </w:rPr>
            </w:pPr>
            <w:r>
              <w:rPr>
                <w:rFonts w:hint="eastAsia" w:ascii="宋体" w:hAnsi="宋体" w:cs="宋体"/>
                <w:bCs/>
                <w:color w:val="000000"/>
                <w:kern w:val="0"/>
                <w:sz w:val="24"/>
              </w:rPr>
              <w:t>备注</w:t>
            </w:r>
          </w:p>
        </w:tc>
      </w:tr>
      <w:tr w14:paraId="0BED5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254" w:type="pct"/>
            <w:tcBorders>
              <w:top w:val="single" w:color="auto" w:sz="4" w:space="0"/>
              <w:left w:val="single" w:color="auto" w:sz="12" w:space="0"/>
              <w:bottom w:val="single" w:color="auto" w:sz="4" w:space="0"/>
              <w:right w:val="single" w:color="auto" w:sz="4" w:space="0"/>
            </w:tcBorders>
            <w:vAlign w:val="center"/>
          </w:tcPr>
          <w:p w14:paraId="5814A2DD">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695" w:type="pct"/>
            <w:tcBorders>
              <w:top w:val="single" w:color="auto" w:sz="4" w:space="0"/>
              <w:left w:val="single" w:color="auto" w:sz="4" w:space="0"/>
              <w:bottom w:val="single" w:color="auto" w:sz="4" w:space="0"/>
              <w:right w:val="single" w:color="auto" w:sz="4" w:space="0"/>
            </w:tcBorders>
            <w:vAlign w:val="center"/>
          </w:tcPr>
          <w:p w14:paraId="2AB8DB91">
            <w:pPr>
              <w:widowControl/>
              <w:jc w:val="center"/>
              <w:rPr>
                <w:rFonts w:hint="eastAsia" w:ascii="宋体" w:hAnsi="宋体" w:cs="宋体"/>
                <w:color w:val="000000"/>
                <w:kern w:val="0"/>
                <w:sz w:val="24"/>
              </w:rPr>
            </w:pPr>
            <w:r>
              <w:rPr>
                <w:rFonts w:hint="eastAsia" w:ascii="宋体" w:hAnsi="宋体" w:cs="宋体"/>
                <w:color w:val="000000"/>
                <w:kern w:val="0"/>
                <w:sz w:val="24"/>
              </w:rPr>
              <w:t>公路路况车辆改装公告申报服务费</w:t>
            </w:r>
          </w:p>
        </w:tc>
        <w:tc>
          <w:tcPr>
            <w:tcW w:w="292" w:type="pct"/>
            <w:tcBorders>
              <w:top w:val="single" w:color="auto" w:sz="4" w:space="0"/>
              <w:left w:val="single" w:color="auto" w:sz="4" w:space="0"/>
              <w:bottom w:val="single" w:color="auto" w:sz="4" w:space="0"/>
              <w:right w:val="single" w:color="auto" w:sz="4" w:space="0"/>
            </w:tcBorders>
            <w:vAlign w:val="center"/>
          </w:tcPr>
          <w:p w14:paraId="10CC1701">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271" w:type="pct"/>
            <w:tcBorders>
              <w:top w:val="single" w:color="auto" w:sz="4" w:space="0"/>
              <w:left w:val="single" w:color="auto" w:sz="4" w:space="0"/>
              <w:bottom w:val="single" w:color="auto" w:sz="4" w:space="0"/>
              <w:right w:val="single" w:color="auto" w:sz="4" w:space="0"/>
            </w:tcBorders>
            <w:vAlign w:val="center"/>
          </w:tcPr>
          <w:p w14:paraId="009B463A">
            <w:pPr>
              <w:widowControl/>
              <w:jc w:val="center"/>
              <w:rPr>
                <w:rFonts w:hint="eastAsia" w:ascii="宋体" w:hAnsi="宋体" w:cs="宋体"/>
                <w:color w:val="000000"/>
                <w:kern w:val="0"/>
                <w:sz w:val="24"/>
              </w:rPr>
            </w:pPr>
            <w:r>
              <w:rPr>
                <w:rFonts w:hint="eastAsia" w:ascii="宋体" w:hAnsi="宋体" w:cs="宋体"/>
                <w:color w:val="000000"/>
                <w:kern w:val="0"/>
                <w:sz w:val="24"/>
              </w:rPr>
              <w:t>项</w:t>
            </w:r>
          </w:p>
        </w:tc>
        <w:tc>
          <w:tcPr>
            <w:tcW w:w="481" w:type="pct"/>
            <w:tcBorders>
              <w:top w:val="single" w:color="auto" w:sz="4" w:space="0"/>
              <w:left w:val="single" w:color="auto" w:sz="4" w:space="0"/>
              <w:bottom w:val="single" w:color="auto" w:sz="4" w:space="0"/>
              <w:right w:val="single" w:color="auto" w:sz="4" w:space="0"/>
            </w:tcBorders>
            <w:noWrap/>
            <w:vAlign w:val="center"/>
          </w:tcPr>
          <w:p w14:paraId="5FE1CFC6">
            <w:pPr>
              <w:widowControl/>
              <w:jc w:val="center"/>
              <w:rPr>
                <w:rFonts w:hint="eastAsia" w:ascii="宋体" w:hAnsi="宋体" w:cs="宋体"/>
                <w:color w:val="000000"/>
                <w:kern w:val="0"/>
                <w:sz w:val="24"/>
              </w:rPr>
            </w:pPr>
            <w:r>
              <w:rPr>
                <w:rFonts w:hint="eastAsia" w:ascii="宋体" w:hAnsi="宋体" w:cs="宋体"/>
                <w:color w:val="000000"/>
                <w:kern w:val="0"/>
                <w:sz w:val="24"/>
              </w:rPr>
              <w:t>28.0</w:t>
            </w:r>
          </w:p>
        </w:tc>
        <w:tc>
          <w:tcPr>
            <w:tcW w:w="439" w:type="pct"/>
            <w:vMerge w:val="restart"/>
            <w:tcBorders>
              <w:top w:val="single" w:color="auto" w:sz="4" w:space="0"/>
              <w:left w:val="single" w:color="auto" w:sz="4" w:space="0"/>
              <w:right w:val="single" w:color="auto" w:sz="12" w:space="0"/>
            </w:tcBorders>
            <w:noWrap/>
            <w:vAlign w:val="center"/>
          </w:tcPr>
          <w:p w14:paraId="74ECBB51">
            <w:pPr>
              <w:widowControl/>
              <w:jc w:val="center"/>
              <w:rPr>
                <w:rFonts w:hint="eastAsia" w:ascii="宋体" w:hAnsi="宋体" w:cs="宋体"/>
                <w:color w:val="000000"/>
                <w:kern w:val="0"/>
                <w:sz w:val="24"/>
              </w:rPr>
            </w:pPr>
          </w:p>
        </w:tc>
        <w:tc>
          <w:tcPr>
            <w:tcW w:w="666" w:type="pct"/>
            <w:tcBorders>
              <w:top w:val="single" w:color="auto" w:sz="4" w:space="0"/>
              <w:left w:val="single" w:color="auto" w:sz="4" w:space="0"/>
              <w:bottom w:val="single" w:color="auto" w:sz="4" w:space="0"/>
              <w:right w:val="single" w:color="auto" w:sz="12" w:space="0"/>
            </w:tcBorders>
            <w:noWrap/>
            <w:vAlign w:val="center"/>
          </w:tcPr>
          <w:p w14:paraId="38DAF64E">
            <w:pPr>
              <w:widowControl/>
              <w:jc w:val="center"/>
              <w:rPr>
                <w:rFonts w:hint="eastAsia" w:ascii="宋体" w:hAnsi="宋体" w:cs="宋体"/>
                <w:color w:val="000000"/>
                <w:kern w:val="0"/>
                <w:sz w:val="24"/>
              </w:rPr>
            </w:pPr>
          </w:p>
        </w:tc>
        <w:tc>
          <w:tcPr>
            <w:tcW w:w="1898" w:type="pct"/>
            <w:tcBorders>
              <w:top w:val="single" w:color="auto" w:sz="4" w:space="0"/>
              <w:left w:val="single" w:color="auto" w:sz="4" w:space="0"/>
              <w:bottom w:val="single" w:color="auto" w:sz="4" w:space="0"/>
              <w:right w:val="single" w:color="auto" w:sz="12" w:space="0"/>
            </w:tcBorders>
            <w:noWrap/>
            <w:vAlign w:val="center"/>
          </w:tcPr>
          <w:p w14:paraId="4327ED1F">
            <w:pPr>
              <w:widowControl/>
              <w:jc w:val="left"/>
              <w:rPr>
                <w:rFonts w:hint="eastAsia" w:ascii="宋体" w:hAnsi="宋体" w:cs="宋体"/>
                <w:color w:val="000000"/>
                <w:kern w:val="0"/>
                <w:sz w:val="24"/>
              </w:rPr>
            </w:pPr>
            <w:r>
              <w:rPr>
                <w:rFonts w:hint="eastAsia" w:ascii="宋体" w:hAnsi="宋体" w:cs="宋体"/>
                <w:color w:val="000000"/>
                <w:kern w:val="0"/>
                <w:sz w:val="24"/>
              </w:rPr>
              <w:t>服务内容包括但不限于：</w:t>
            </w:r>
          </w:p>
          <w:p w14:paraId="6DC08F7B">
            <w:pPr>
              <w:widowControl/>
              <w:jc w:val="left"/>
              <w:rPr>
                <w:rFonts w:hint="eastAsia" w:ascii="宋体" w:hAnsi="宋体" w:cs="宋体"/>
                <w:b/>
                <w:bCs/>
                <w:color w:val="000000"/>
                <w:kern w:val="0"/>
                <w:sz w:val="24"/>
              </w:rPr>
            </w:pPr>
            <w:r>
              <w:rPr>
                <w:rFonts w:hint="eastAsia" w:ascii="宋体" w:hAnsi="宋体" w:cs="宋体"/>
                <w:color w:val="000000"/>
                <w:kern w:val="0"/>
                <w:sz w:val="24"/>
              </w:rPr>
              <w:t>1、</w:t>
            </w:r>
            <w:r>
              <w:rPr>
                <w:rFonts w:hint="eastAsia" w:ascii="宋体" w:hAnsi="宋体" w:cs="宋体"/>
                <w:b/>
                <w:bCs/>
                <w:color w:val="000000"/>
                <w:kern w:val="0"/>
                <w:sz w:val="24"/>
              </w:rPr>
              <w:t>包含用于改装公告申报服务的测试车辆；</w:t>
            </w:r>
          </w:p>
          <w:p w14:paraId="0F4D5DFE">
            <w:pPr>
              <w:widowControl/>
              <w:jc w:val="left"/>
              <w:rPr>
                <w:rFonts w:hint="eastAsia" w:ascii="宋体" w:hAnsi="宋体" w:cs="宋体"/>
                <w:color w:val="000000"/>
                <w:kern w:val="0"/>
                <w:sz w:val="24"/>
              </w:rPr>
            </w:pPr>
            <w:r>
              <w:rPr>
                <w:rFonts w:hint="eastAsia" w:ascii="宋体" w:hAnsi="宋体" w:cs="宋体"/>
                <w:color w:val="000000"/>
                <w:kern w:val="0"/>
                <w:sz w:val="24"/>
              </w:rPr>
              <w:t>2、包含公告申报所产生的车辆改装工时费及电线、螺丝、密封等基础改装辅材费</w:t>
            </w:r>
          </w:p>
          <w:p w14:paraId="261B99F0">
            <w:pPr>
              <w:widowControl/>
              <w:jc w:val="left"/>
              <w:rPr>
                <w:rFonts w:hint="eastAsia" w:ascii="宋体" w:hAnsi="宋体" w:cs="宋体"/>
                <w:color w:val="000000"/>
                <w:kern w:val="0"/>
                <w:sz w:val="24"/>
              </w:rPr>
            </w:pPr>
            <w:r>
              <w:rPr>
                <w:rFonts w:hint="eastAsia" w:ascii="宋体" w:hAnsi="宋体" w:cs="宋体"/>
                <w:color w:val="000000"/>
                <w:kern w:val="0"/>
                <w:sz w:val="24"/>
              </w:rPr>
              <w:t>3、公路路况车辆改装技术标准制定、改装公告文本编制、公告发布（涵盖政府指定平台、行业媒体等渠道）、潜在改装单位咨询答疑、改装方案合规性审核、公告相关资料归档等全流程服务。</w:t>
            </w:r>
          </w:p>
        </w:tc>
      </w:tr>
      <w:tr w14:paraId="63AAB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254" w:type="pct"/>
            <w:tcBorders>
              <w:top w:val="single" w:color="auto" w:sz="4" w:space="0"/>
              <w:left w:val="single" w:color="auto" w:sz="12" w:space="0"/>
              <w:bottom w:val="single" w:color="auto" w:sz="4" w:space="0"/>
              <w:right w:val="single" w:color="auto" w:sz="4" w:space="0"/>
            </w:tcBorders>
            <w:vAlign w:val="center"/>
          </w:tcPr>
          <w:p w14:paraId="2C089C62">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695" w:type="pct"/>
            <w:tcBorders>
              <w:top w:val="single" w:color="auto" w:sz="4" w:space="0"/>
              <w:left w:val="single" w:color="auto" w:sz="4" w:space="0"/>
              <w:bottom w:val="single" w:color="auto" w:sz="4" w:space="0"/>
              <w:right w:val="single" w:color="auto" w:sz="4" w:space="0"/>
            </w:tcBorders>
            <w:vAlign w:val="center"/>
          </w:tcPr>
          <w:p w14:paraId="61641F09">
            <w:pPr>
              <w:widowControl/>
              <w:jc w:val="center"/>
              <w:rPr>
                <w:rFonts w:hint="eastAsia" w:ascii="宋体" w:hAnsi="宋体" w:cs="宋体"/>
                <w:color w:val="000000"/>
                <w:kern w:val="0"/>
                <w:sz w:val="24"/>
              </w:rPr>
            </w:pPr>
            <w:r>
              <w:rPr>
                <w:rFonts w:hint="eastAsia" w:ascii="宋体" w:hAnsi="宋体" w:cs="宋体"/>
                <w:color w:val="000000"/>
                <w:kern w:val="0"/>
                <w:sz w:val="24"/>
              </w:rPr>
              <w:t>公路路况车辆后续改装服务费</w:t>
            </w:r>
          </w:p>
        </w:tc>
        <w:tc>
          <w:tcPr>
            <w:tcW w:w="292" w:type="pct"/>
            <w:tcBorders>
              <w:top w:val="single" w:color="auto" w:sz="4" w:space="0"/>
              <w:left w:val="single" w:color="auto" w:sz="4" w:space="0"/>
              <w:bottom w:val="single" w:color="auto" w:sz="4" w:space="0"/>
              <w:right w:val="single" w:color="auto" w:sz="4" w:space="0"/>
            </w:tcBorders>
            <w:vAlign w:val="center"/>
          </w:tcPr>
          <w:p w14:paraId="59078864">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271" w:type="pct"/>
            <w:tcBorders>
              <w:top w:val="single" w:color="auto" w:sz="4" w:space="0"/>
              <w:left w:val="single" w:color="auto" w:sz="4" w:space="0"/>
              <w:bottom w:val="single" w:color="auto" w:sz="4" w:space="0"/>
              <w:right w:val="single" w:color="auto" w:sz="4" w:space="0"/>
            </w:tcBorders>
            <w:vAlign w:val="center"/>
          </w:tcPr>
          <w:p w14:paraId="1108424B">
            <w:pPr>
              <w:widowControl/>
              <w:jc w:val="center"/>
              <w:rPr>
                <w:rFonts w:hint="eastAsia" w:ascii="宋体" w:hAnsi="宋体" w:cs="宋体"/>
                <w:color w:val="000000"/>
                <w:kern w:val="0"/>
                <w:sz w:val="24"/>
              </w:rPr>
            </w:pPr>
            <w:r>
              <w:rPr>
                <w:rFonts w:hint="eastAsia" w:ascii="宋体" w:hAnsi="宋体" w:cs="宋体"/>
                <w:color w:val="000000"/>
                <w:kern w:val="0"/>
                <w:sz w:val="24"/>
              </w:rPr>
              <w:t>辆</w:t>
            </w:r>
          </w:p>
        </w:tc>
        <w:tc>
          <w:tcPr>
            <w:tcW w:w="481" w:type="pct"/>
            <w:tcBorders>
              <w:top w:val="single" w:color="auto" w:sz="4" w:space="0"/>
              <w:left w:val="single" w:color="auto" w:sz="4" w:space="0"/>
              <w:bottom w:val="single" w:color="auto" w:sz="4" w:space="0"/>
              <w:right w:val="single" w:color="auto" w:sz="4" w:space="0"/>
            </w:tcBorders>
            <w:noWrap/>
            <w:vAlign w:val="center"/>
          </w:tcPr>
          <w:p w14:paraId="04E3E22F">
            <w:pPr>
              <w:widowControl/>
              <w:jc w:val="center"/>
              <w:rPr>
                <w:rFonts w:hint="eastAsia" w:ascii="宋体" w:hAnsi="宋体" w:cs="宋体"/>
                <w:color w:val="000000"/>
                <w:kern w:val="0"/>
                <w:sz w:val="24"/>
              </w:rPr>
            </w:pPr>
            <w:r>
              <w:rPr>
                <w:rFonts w:hint="eastAsia" w:ascii="宋体" w:hAnsi="宋体" w:cs="宋体"/>
                <w:color w:val="000000"/>
                <w:kern w:val="0"/>
                <w:sz w:val="24"/>
              </w:rPr>
              <w:t>3.0</w:t>
            </w:r>
          </w:p>
        </w:tc>
        <w:tc>
          <w:tcPr>
            <w:tcW w:w="439" w:type="pct"/>
            <w:vMerge w:val="continue"/>
            <w:tcBorders>
              <w:left w:val="single" w:color="auto" w:sz="4" w:space="0"/>
              <w:bottom w:val="single" w:color="auto" w:sz="4" w:space="0"/>
              <w:right w:val="single" w:color="auto" w:sz="12" w:space="0"/>
            </w:tcBorders>
            <w:noWrap/>
            <w:vAlign w:val="center"/>
          </w:tcPr>
          <w:p w14:paraId="3568DB9F">
            <w:pPr>
              <w:widowControl/>
              <w:jc w:val="center"/>
              <w:rPr>
                <w:rFonts w:hint="eastAsia" w:ascii="宋体" w:hAnsi="宋体" w:cs="宋体"/>
                <w:color w:val="000000"/>
                <w:kern w:val="0"/>
                <w:sz w:val="24"/>
              </w:rPr>
            </w:pPr>
          </w:p>
        </w:tc>
        <w:tc>
          <w:tcPr>
            <w:tcW w:w="666" w:type="pct"/>
            <w:tcBorders>
              <w:top w:val="single" w:color="auto" w:sz="4" w:space="0"/>
              <w:left w:val="single" w:color="auto" w:sz="4" w:space="0"/>
              <w:bottom w:val="single" w:color="auto" w:sz="4" w:space="0"/>
              <w:right w:val="single" w:color="auto" w:sz="12" w:space="0"/>
            </w:tcBorders>
            <w:noWrap/>
            <w:vAlign w:val="center"/>
          </w:tcPr>
          <w:p w14:paraId="12BE4598">
            <w:pPr>
              <w:widowControl/>
              <w:jc w:val="center"/>
              <w:rPr>
                <w:rFonts w:hint="eastAsia" w:ascii="宋体" w:hAnsi="宋体" w:cs="宋体"/>
                <w:color w:val="000000"/>
                <w:kern w:val="0"/>
                <w:sz w:val="24"/>
              </w:rPr>
            </w:pPr>
          </w:p>
        </w:tc>
        <w:tc>
          <w:tcPr>
            <w:tcW w:w="1898" w:type="pct"/>
            <w:tcBorders>
              <w:top w:val="single" w:color="auto" w:sz="4" w:space="0"/>
              <w:left w:val="single" w:color="auto" w:sz="4" w:space="0"/>
              <w:bottom w:val="single" w:color="auto" w:sz="4" w:space="0"/>
              <w:right w:val="single" w:color="auto" w:sz="12" w:space="0"/>
            </w:tcBorders>
            <w:noWrap/>
            <w:vAlign w:val="center"/>
          </w:tcPr>
          <w:p w14:paraId="2880A21A">
            <w:pPr>
              <w:widowControl/>
              <w:jc w:val="left"/>
              <w:rPr>
                <w:rFonts w:hint="eastAsia" w:ascii="宋体" w:hAnsi="宋体" w:cs="宋体"/>
                <w:color w:val="000000"/>
                <w:kern w:val="0"/>
                <w:sz w:val="24"/>
              </w:rPr>
            </w:pPr>
            <w:r>
              <w:rPr>
                <w:rFonts w:hint="eastAsia" w:ascii="宋体" w:hAnsi="宋体" w:cs="宋体"/>
                <w:color w:val="000000"/>
                <w:kern w:val="0"/>
                <w:sz w:val="24"/>
              </w:rPr>
              <w:t>服务内容包括但不限于：</w:t>
            </w:r>
          </w:p>
          <w:p w14:paraId="69D776AA">
            <w:pPr>
              <w:widowControl/>
              <w:jc w:val="left"/>
              <w:rPr>
                <w:rFonts w:hint="eastAsia" w:ascii="宋体" w:hAnsi="宋体" w:cs="宋体"/>
                <w:color w:val="000000"/>
                <w:kern w:val="0"/>
                <w:sz w:val="24"/>
              </w:rPr>
            </w:pPr>
            <w:r>
              <w:rPr>
                <w:rFonts w:hint="eastAsia" w:ascii="宋体" w:hAnsi="宋体" w:cs="宋体"/>
                <w:color w:val="000000"/>
                <w:kern w:val="0"/>
                <w:sz w:val="24"/>
              </w:rPr>
              <w:t>1、按照公告批复要求对车辆进行改装；</w:t>
            </w:r>
          </w:p>
          <w:p w14:paraId="09F052F2">
            <w:pPr>
              <w:widowControl/>
              <w:jc w:val="left"/>
            </w:pPr>
            <w:r>
              <w:rPr>
                <w:rFonts w:hint="eastAsia" w:ascii="宋体" w:hAnsi="宋体" w:cs="宋体"/>
                <w:color w:val="000000"/>
                <w:kern w:val="0"/>
                <w:sz w:val="24"/>
              </w:rPr>
              <w:t>2、含工时费及电线、螺丝、密封等基础改装辅材。</w:t>
            </w:r>
          </w:p>
        </w:tc>
      </w:tr>
      <w:tr w14:paraId="5DE68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34" w:type="pct"/>
            <w:gridSpan w:val="6"/>
            <w:tcBorders>
              <w:top w:val="single" w:color="auto" w:sz="4" w:space="0"/>
              <w:left w:val="single" w:color="auto" w:sz="12" w:space="0"/>
              <w:bottom w:val="single" w:color="auto" w:sz="4" w:space="0"/>
              <w:right w:val="single" w:color="auto" w:sz="12" w:space="0"/>
            </w:tcBorders>
            <w:vAlign w:val="center"/>
          </w:tcPr>
          <w:p w14:paraId="2696845A">
            <w:pPr>
              <w:widowControl/>
              <w:jc w:val="center"/>
              <w:rPr>
                <w:rFonts w:hint="eastAsia" w:ascii="宋体" w:hAnsi="宋体" w:cs="宋体"/>
                <w:color w:val="000000"/>
                <w:kern w:val="0"/>
                <w:sz w:val="24"/>
              </w:rPr>
            </w:pPr>
            <w:r>
              <w:rPr>
                <w:rFonts w:hint="eastAsia" w:ascii="宋体" w:hAnsi="宋体" w:cs="宋体"/>
                <w:color w:val="000000"/>
                <w:kern w:val="0"/>
                <w:sz w:val="24"/>
              </w:rPr>
              <w:t>总计</w:t>
            </w:r>
          </w:p>
        </w:tc>
        <w:tc>
          <w:tcPr>
            <w:tcW w:w="666" w:type="pct"/>
            <w:tcBorders>
              <w:top w:val="single" w:color="auto" w:sz="4" w:space="0"/>
              <w:left w:val="single" w:color="auto" w:sz="4" w:space="0"/>
              <w:bottom w:val="single" w:color="auto" w:sz="4" w:space="0"/>
              <w:right w:val="single" w:color="auto" w:sz="12" w:space="0"/>
            </w:tcBorders>
            <w:noWrap/>
            <w:vAlign w:val="center"/>
          </w:tcPr>
          <w:p w14:paraId="776025D1">
            <w:pPr>
              <w:widowControl/>
              <w:jc w:val="center"/>
              <w:rPr>
                <w:rFonts w:hint="eastAsia" w:ascii="宋体" w:hAnsi="宋体" w:cs="宋体"/>
                <w:color w:val="000000"/>
                <w:kern w:val="0"/>
                <w:sz w:val="24"/>
              </w:rPr>
            </w:pPr>
          </w:p>
        </w:tc>
        <w:tc>
          <w:tcPr>
            <w:tcW w:w="1898" w:type="pct"/>
            <w:tcBorders>
              <w:top w:val="single" w:color="auto" w:sz="4" w:space="0"/>
              <w:left w:val="single" w:color="auto" w:sz="4" w:space="0"/>
              <w:bottom w:val="single" w:color="auto" w:sz="4" w:space="0"/>
              <w:right w:val="single" w:color="auto" w:sz="12" w:space="0"/>
            </w:tcBorders>
            <w:noWrap/>
            <w:vAlign w:val="center"/>
          </w:tcPr>
          <w:p w14:paraId="3E97BAD0">
            <w:pPr>
              <w:widowControl/>
              <w:jc w:val="center"/>
              <w:rPr>
                <w:rFonts w:hint="eastAsia" w:ascii="宋体" w:hAnsi="宋体" w:cs="宋体"/>
                <w:color w:val="000000"/>
                <w:kern w:val="0"/>
                <w:sz w:val="24"/>
              </w:rPr>
            </w:pPr>
          </w:p>
        </w:tc>
      </w:tr>
      <w:tr w14:paraId="11B20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00" w:type="pct"/>
            <w:gridSpan w:val="8"/>
            <w:tcBorders>
              <w:top w:val="single" w:color="auto" w:sz="4" w:space="0"/>
              <w:left w:val="single" w:color="auto" w:sz="12" w:space="0"/>
              <w:bottom w:val="single" w:color="auto" w:sz="4" w:space="0"/>
              <w:right w:val="single" w:color="auto" w:sz="12" w:space="0"/>
            </w:tcBorders>
            <w:vAlign w:val="center"/>
          </w:tcPr>
          <w:p w14:paraId="702334EB">
            <w:pPr>
              <w:pStyle w:val="22"/>
              <w:spacing w:after="0" w:line="360" w:lineRule="auto"/>
              <w:ind w:firstLine="0" w:firstLineChars="0"/>
              <w:jc w:val="left"/>
              <w:textAlignment w:val="baseline"/>
              <w:rPr>
                <w:rFonts w:hint="eastAsia" w:ascii="宋体" w:hAnsi="宋体" w:cs="宋体"/>
                <w:color w:val="000000"/>
                <w:kern w:val="0"/>
                <w:sz w:val="24"/>
              </w:rPr>
            </w:pPr>
            <w:r>
              <w:rPr>
                <w:rFonts w:hint="eastAsia" w:ascii="新宋体" w:hAnsi="新宋体" w:eastAsia="新宋体" w:cs="新宋体"/>
                <w:sz w:val="24"/>
              </w:rPr>
              <w:t>报价要求：</w:t>
            </w:r>
            <w:r>
              <w:rPr>
                <w:rFonts w:hint="eastAsia" w:ascii="宋体" w:hAnsi="宋体" w:cs="宋体"/>
              </w:rPr>
              <w:t>报价需包含完成本项目的全部费用，实行总价包干，包括但不限于：车型选型调研费、技术方案设计费、申报资料编制费、主管部门公告费、车辆检测协作费（若有）、专家咨询费、交通费、服务费、税费等。</w:t>
            </w:r>
          </w:p>
        </w:tc>
      </w:tr>
    </w:tbl>
    <w:p w14:paraId="769F81C1">
      <w:pPr>
        <w:rPr>
          <w:rFonts w:hint="eastAsia" w:ascii="宋体" w:hAnsi="宋体" w:cs="宋体"/>
          <w:b/>
          <w:bCs/>
          <w:sz w:val="24"/>
        </w:rPr>
      </w:pPr>
      <w:r>
        <w:rPr>
          <w:rFonts w:hint="eastAsia" w:ascii="宋体" w:hAnsi="宋体" w:cs="宋体"/>
          <w:b/>
          <w:bCs/>
          <w:sz w:val="24"/>
        </w:rPr>
        <w:t>注：</w:t>
      </w:r>
    </w:p>
    <w:p w14:paraId="6041B3CF">
      <w:pPr>
        <w:numPr>
          <w:ilvl w:val="0"/>
          <w:numId w:val="1"/>
        </w:numPr>
        <w:rPr>
          <w:rFonts w:hint="eastAsia" w:ascii="宋体" w:hAnsi="宋体" w:cs="宋体"/>
          <w:b/>
          <w:bCs/>
          <w:sz w:val="24"/>
        </w:rPr>
      </w:pPr>
      <w:r>
        <w:rPr>
          <w:rFonts w:hint="eastAsia" w:ascii="宋体" w:hAnsi="宋体" w:cs="宋体"/>
          <w:b/>
          <w:bCs/>
          <w:sz w:val="24"/>
        </w:rPr>
        <w:t>所有价格系用人民币表示，单位：万元。</w:t>
      </w:r>
    </w:p>
    <w:p w14:paraId="539BFF37">
      <w:pPr>
        <w:numPr>
          <w:ilvl w:val="0"/>
          <w:numId w:val="1"/>
        </w:numPr>
        <w:rPr>
          <w:rFonts w:hint="eastAsia" w:ascii="宋体" w:hAnsi="宋体" w:cs="宋体"/>
          <w:b/>
          <w:bCs/>
          <w:sz w:val="24"/>
        </w:rPr>
      </w:pPr>
      <w:r>
        <w:rPr>
          <w:rFonts w:hint="eastAsia" w:ascii="宋体" w:hAnsi="宋体" w:cs="宋体"/>
          <w:b/>
          <w:bCs/>
          <w:sz w:val="24"/>
        </w:rPr>
        <w:t>如果单价和总价不符时，以单价为准。</w:t>
      </w:r>
    </w:p>
    <w:p w14:paraId="229AB3DA">
      <w:pPr>
        <w:numPr>
          <w:ilvl w:val="0"/>
          <w:numId w:val="1"/>
        </w:numPr>
        <w:rPr>
          <w:rFonts w:hint="eastAsia" w:ascii="宋体" w:hAnsi="宋体" w:cs="宋体"/>
          <w:b/>
          <w:bCs/>
          <w:sz w:val="24"/>
        </w:rPr>
      </w:pPr>
      <w:r>
        <w:rPr>
          <w:rFonts w:hint="eastAsia" w:ascii="宋体" w:hAnsi="宋体" w:cs="宋体"/>
          <w:b/>
          <w:bCs/>
          <w:sz w:val="24"/>
        </w:rPr>
        <w:t>供应商应将表中的内容明确填写，成交供应商计量时需提供专票。</w:t>
      </w:r>
    </w:p>
    <w:p w14:paraId="6F37C760">
      <w:pPr>
        <w:numPr>
          <w:ilvl w:val="0"/>
          <w:numId w:val="1"/>
        </w:numPr>
        <w:rPr>
          <w:rFonts w:hint="eastAsia" w:ascii="宋体" w:hAnsi="宋体" w:cs="宋体"/>
          <w:b/>
          <w:bCs/>
          <w:sz w:val="24"/>
        </w:rPr>
      </w:pPr>
      <w:r>
        <w:rPr>
          <w:rFonts w:hint="eastAsia" w:ascii="宋体" w:hAnsi="宋体" w:cs="宋体"/>
          <w:b/>
          <w:bCs/>
          <w:sz w:val="24"/>
        </w:rPr>
        <w:t>公路路况车辆后续改装服务费为我方后续车辆改装固定价格，不在本项目合同支付范围内。</w:t>
      </w:r>
    </w:p>
    <w:p w14:paraId="2A57CDED">
      <w:pPr>
        <w:pStyle w:val="2"/>
        <w:ind w:left="0" w:leftChars="0" w:firstLine="0" w:firstLineChars="0"/>
        <w:rPr>
          <w:rFonts w:hint="eastAsia" w:ascii="宋体" w:hAnsi="宋体" w:cs="宋体"/>
          <w:sz w:val="24"/>
        </w:rPr>
      </w:pPr>
    </w:p>
    <w:p w14:paraId="0583CED9">
      <w:pPr>
        <w:pStyle w:val="5"/>
        <w:rPr>
          <w:rFonts w:hint="eastAsia"/>
        </w:rPr>
      </w:pPr>
    </w:p>
    <w:p w14:paraId="2CA314D4">
      <w:pPr>
        <w:adjustRightInd w:val="0"/>
        <w:snapToGrid w:val="0"/>
        <w:spacing w:line="360" w:lineRule="auto"/>
        <w:jc w:val="right"/>
        <w:rPr>
          <w:bCs/>
          <w:sz w:val="24"/>
          <w:u w:val="single"/>
        </w:rPr>
      </w:pPr>
      <w:r>
        <w:rPr>
          <w:rFonts w:hint="eastAsia"/>
          <w:bCs/>
          <w:spacing w:val="120"/>
          <w:kern w:val="0"/>
          <w:sz w:val="24"/>
          <w:fitText w:val="1200" w:id="1057047267"/>
        </w:rPr>
        <w:t>投标</w:t>
      </w:r>
      <w:r>
        <w:rPr>
          <w:rFonts w:hint="eastAsia"/>
          <w:bCs/>
          <w:spacing w:val="0"/>
          <w:kern w:val="0"/>
          <w:sz w:val="24"/>
          <w:fitText w:val="1200" w:id="1057047267"/>
        </w:rPr>
        <w:t>人</w:t>
      </w:r>
      <w:r>
        <w:rPr>
          <w:rFonts w:hint="eastAsia"/>
          <w:bCs/>
          <w:sz w:val="24"/>
        </w:rPr>
        <w:t>：</w:t>
      </w:r>
      <w:r>
        <w:rPr>
          <w:rFonts w:hint="eastAsia"/>
          <w:bCs/>
          <w:sz w:val="24"/>
          <w:u w:val="single"/>
        </w:rPr>
        <w:t xml:space="preserve">            </w:t>
      </w:r>
      <w:r>
        <w:rPr>
          <w:rFonts w:hint="eastAsia"/>
          <w:bCs/>
          <w:sz w:val="24"/>
        </w:rPr>
        <w:t>（盖单位章）</w:t>
      </w:r>
    </w:p>
    <w:p w14:paraId="0762D320">
      <w:pPr>
        <w:adjustRightInd w:val="0"/>
        <w:snapToGrid w:val="0"/>
        <w:spacing w:line="360" w:lineRule="auto"/>
        <w:jc w:val="right"/>
        <w:rPr>
          <w:sz w:val="24"/>
        </w:rPr>
      </w:pPr>
      <w:r>
        <w:rPr>
          <w:rFonts w:hint="eastAsia"/>
          <w:spacing w:val="0"/>
          <w:kern w:val="0"/>
          <w:sz w:val="24"/>
          <w:fitText w:val="1200" w:id="1885288757"/>
        </w:rPr>
        <w:t>法定代表人</w:t>
      </w:r>
      <w:r>
        <w:rPr>
          <w:rFonts w:hint="eastAsia"/>
          <w:sz w:val="24"/>
        </w:rPr>
        <w:t>：</w:t>
      </w:r>
      <w:r>
        <w:rPr>
          <w:rFonts w:hint="eastAsia"/>
          <w:bCs/>
          <w:sz w:val="24"/>
          <w:u w:val="single"/>
        </w:rPr>
        <w:t xml:space="preserve">          </w:t>
      </w:r>
      <w:r>
        <w:rPr>
          <w:rFonts w:hint="eastAsia"/>
          <w:sz w:val="24"/>
        </w:rPr>
        <w:t>（签字或盖章）</w:t>
      </w:r>
    </w:p>
    <w:p w14:paraId="754A1863">
      <w:pPr>
        <w:adjustRightInd w:val="0"/>
        <w:snapToGrid w:val="0"/>
        <w:spacing w:line="360" w:lineRule="auto"/>
        <w:jc w:val="right"/>
        <w:rPr>
          <w:rFonts w:eastAsia="黑体"/>
          <w:sz w:val="24"/>
        </w:rPr>
      </w:pPr>
      <w:r>
        <w:rPr>
          <w:rFonts w:hint="eastAsia"/>
          <w:bCs/>
          <w:spacing w:val="360"/>
          <w:kern w:val="0"/>
          <w:sz w:val="24"/>
          <w:fitText w:val="1200" w:id="1417889085"/>
        </w:rPr>
        <w:t>日</w:t>
      </w:r>
      <w:r>
        <w:rPr>
          <w:rFonts w:hint="eastAsia"/>
          <w:bCs/>
          <w:spacing w:val="0"/>
          <w:kern w:val="0"/>
          <w:sz w:val="24"/>
          <w:fitText w:val="1200" w:id="1417889085"/>
        </w:rPr>
        <w:t>期</w:t>
      </w:r>
      <w:r>
        <w:rPr>
          <w:rFonts w:hint="eastAsia"/>
          <w:sz w:val="24"/>
        </w:rPr>
        <w:t>：</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5247D4DF">
      <w:pPr>
        <w:rPr>
          <w:rFonts w:hint="eastAsia" w:ascii="宋体" w:hAnsi="宋体" w:cs="宋体"/>
          <w:sz w:val="24"/>
        </w:rPr>
      </w:pPr>
      <w:r>
        <w:rPr>
          <w:rFonts w:hint="eastAsia" w:ascii="宋体" w:hAnsi="宋体" w:cs="宋体"/>
          <w:sz w:val="24"/>
        </w:rPr>
        <w:br w:type="page"/>
      </w:r>
      <w:r>
        <w:rPr>
          <w:rFonts w:hint="eastAsia" w:ascii="宋体" w:hAnsi="宋体" w:cs="宋体"/>
          <w:sz w:val="24"/>
        </w:rPr>
        <w:t>三、</w:t>
      </w:r>
      <w:bookmarkStart w:id="129" w:name="OLE_LINK20"/>
      <w:r>
        <w:rPr>
          <w:rFonts w:hint="eastAsia" w:ascii="宋体" w:hAnsi="宋体" w:cs="宋体"/>
          <w:sz w:val="24"/>
        </w:rPr>
        <w:t>项目需求及服务要求偏离表</w:t>
      </w:r>
      <w:bookmarkEnd w:id="129"/>
    </w:p>
    <w:p w14:paraId="28BE554A">
      <w:pPr>
        <w:snapToGrid w:val="0"/>
        <w:spacing w:line="360" w:lineRule="auto"/>
        <w:rPr>
          <w:rFonts w:hint="eastAsia" w:ascii="宋体" w:hAnsi="宋体" w:cs="宋体"/>
          <w:kern w:val="0"/>
          <w:sz w:val="24"/>
        </w:rPr>
      </w:pPr>
    </w:p>
    <w:p w14:paraId="28DACF67">
      <w:pPr>
        <w:snapToGrid w:val="0"/>
        <w:spacing w:line="360" w:lineRule="auto"/>
        <w:rPr>
          <w:rFonts w:hint="eastAsia" w:ascii="宋体" w:hAnsi="宋体" w:cs="宋体"/>
          <w:kern w:val="0"/>
          <w:sz w:val="24"/>
        </w:rPr>
      </w:pPr>
      <w:r>
        <w:rPr>
          <w:rFonts w:hint="eastAsia" w:ascii="宋体" w:hAnsi="宋体" w:cs="宋体"/>
          <w:kern w:val="0"/>
          <w:sz w:val="24"/>
        </w:rPr>
        <w:t>说明：如有偏离需供应商详细填写，未填写的内容视为无负偏离，供应商提交询价文件如果出现负偏离则资格符合性检查不通过。</w:t>
      </w:r>
    </w:p>
    <w:tbl>
      <w:tblPr>
        <w:tblStyle w:val="23"/>
        <w:tblW w:w="8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5703"/>
        <w:gridCol w:w="1819"/>
      </w:tblGrid>
      <w:tr w14:paraId="7EDC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6D535BE3">
            <w:pPr>
              <w:snapToGrid w:val="0"/>
              <w:spacing w:line="360" w:lineRule="auto"/>
              <w:jc w:val="center"/>
              <w:rPr>
                <w:rFonts w:hint="eastAsia" w:ascii="宋体" w:hAnsi="宋体" w:cs="宋体"/>
                <w:kern w:val="0"/>
                <w:sz w:val="24"/>
              </w:rPr>
            </w:pPr>
            <w:r>
              <w:rPr>
                <w:rFonts w:hint="eastAsia" w:ascii="宋体" w:hAnsi="宋体" w:cs="宋体"/>
                <w:kern w:val="0"/>
                <w:sz w:val="24"/>
              </w:rPr>
              <w:t>序号</w:t>
            </w:r>
          </w:p>
        </w:tc>
        <w:tc>
          <w:tcPr>
            <w:tcW w:w="5703" w:type="dxa"/>
            <w:tcBorders>
              <w:top w:val="single" w:color="auto" w:sz="4" w:space="0"/>
              <w:left w:val="single" w:color="auto" w:sz="4" w:space="0"/>
              <w:bottom w:val="single" w:color="auto" w:sz="4" w:space="0"/>
              <w:right w:val="single" w:color="auto" w:sz="4" w:space="0"/>
            </w:tcBorders>
            <w:vAlign w:val="center"/>
          </w:tcPr>
          <w:p w14:paraId="31F8F985">
            <w:pPr>
              <w:snapToGrid w:val="0"/>
              <w:spacing w:line="360" w:lineRule="auto"/>
              <w:jc w:val="center"/>
              <w:rPr>
                <w:rFonts w:hint="eastAsia" w:ascii="宋体" w:hAnsi="宋体" w:cs="宋体"/>
                <w:kern w:val="0"/>
                <w:sz w:val="24"/>
              </w:rPr>
            </w:pPr>
            <w:r>
              <w:rPr>
                <w:rFonts w:hint="eastAsia" w:ascii="宋体" w:hAnsi="宋体" w:cs="宋体"/>
                <w:kern w:val="0"/>
                <w:sz w:val="24"/>
              </w:rPr>
              <w:t>拟申报车辆要求</w:t>
            </w:r>
          </w:p>
        </w:tc>
        <w:tc>
          <w:tcPr>
            <w:tcW w:w="1819" w:type="dxa"/>
            <w:tcBorders>
              <w:top w:val="single" w:color="auto" w:sz="4" w:space="0"/>
              <w:left w:val="single" w:color="auto" w:sz="4" w:space="0"/>
              <w:bottom w:val="single" w:color="auto" w:sz="4" w:space="0"/>
              <w:right w:val="single" w:color="auto" w:sz="4" w:space="0"/>
            </w:tcBorders>
            <w:vAlign w:val="center"/>
          </w:tcPr>
          <w:p w14:paraId="2386A10A">
            <w:pPr>
              <w:snapToGrid w:val="0"/>
              <w:spacing w:line="360" w:lineRule="auto"/>
              <w:jc w:val="center"/>
              <w:rPr>
                <w:rFonts w:hint="eastAsia" w:ascii="宋体" w:hAnsi="宋体" w:cs="宋体"/>
                <w:kern w:val="0"/>
                <w:sz w:val="24"/>
              </w:rPr>
            </w:pPr>
            <w:r>
              <w:rPr>
                <w:rFonts w:hint="eastAsia" w:ascii="宋体" w:hAnsi="宋体" w:cs="宋体"/>
                <w:kern w:val="0"/>
                <w:sz w:val="24"/>
              </w:rPr>
              <w:t>偏离说明</w:t>
            </w:r>
          </w:p>
        </w:tc>
      </w:tr>
      <w:tr w14:paraId="5D7B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3CA2EED">
            <w:pPr>
              <w:snapToGrid w:val="0"/>
              <w:spacing w:line="360" w:lineRule="auto"/>
              <w:jc w:val="center"/>
              <w:rPr>
                <w:rFonts w:hint="eastAsia" w:ascii="宋体" w:hAnsi="宋体" w:cs="宋体"/>
                <w:kern w:val="0"/>
                <w:sz w:val="24"/>
              </w:rPr>
            </w:pPr>
            <w:r>
              <w:rPr>
                <w:rFonts w:hint="eastAsia" w:ascii="宋体" w:hAnsi="宋体" w:cs="宋体"/>
                <w:kern w:val="0"/>
                <w:sz w:val="24"/>
              </w:rPr>
              <w:t>1</w:t>
            </w:r>
          </w:p>
        </w:tc>
        <w:tc>
          <w:tcPr>
            <w:tcW w:w="5703" w:type="dxa"/>
            <w:tcBorders>
              <w:top w:val="single" w:color="auto" w:sz="4" w:space="0"/>
              <w:left w:val="single" w:color="auto" w:sz="4" w:space="0"/>
              <w:bottom w:val="single" w:color="auto" w:sz="4" w:space="0"/>
              <w:right w:val="single" w:color="auto" w:sz="4" w:space="0"/>
            </w:tcBorders>
            <w:vAlign w:val="center"/>
          </w:tcPr>
          <w:p w14:paraId="2E7736B4">
            <w:pPr>
              <w:pStyle w:val="20"/>
              <w:widowControl/>
              <w:spacing w:before="75" w:beforeAutospacing="0" w:after="75" w:afterAutospacing="0" w:line="360" w:lineRule="auto"/>
              <w:jc w:val="both"/>
              <w:rPr>
                <w:rFonts w:hint="eastAsia" w:ascii="宋体" w:hAnsi="宋体" w:cs="宋体"/>
              </w:rPr>
            </w:pPr>
            <w:r>
              <w:rPr>
                <w:rFonts w:hint="eastAsia" w:ascii="宋体" w:hAnsi="宋体" w:cs="宋体"/>
              </w:rPr>
              <w:t>车辆需适应平原、山区、高海拔、泥泞、砂石等各种复杂路况；</w:t>
            </w:r>
          </w:p>
        </w:tc>
        <w:tc>
          <w:tcPr>
            <w:tcW w:w="1819" w:type="dxa"/>
            <w:tcBorders>
              <w:top w:val="single" w:color="auto" w:sz="4" w:space="0"/>
              <w:left w:val="single" w:color="auto" w:sz="4" w:space="0"/>
              <w:bottom w:val="single" w:color="auto" w:sz="4" w:space="0"/>
              <w:right w:val="single" w:color="auto" w:sz="4" w:space="0"/>
            </w:tcBorders>
            <w:vAlign w:val="center"/>
          </w:tcPr>
          <w:p w14:paraId="2F690FA1">
            <w:pPr>
              <w:snapToGrid w:val="0"/>
              <w:spacing w:line="360" w:lineRule="auto"/>
              <w:jc w:val="center"/>
              <w:rPr>
                <w:rFonts w:hint="eastAsia" w:ascii="宋体" w:hAnsi="宋体" w:cs="宋体"/>
                <w:kern w:val="0"/>
                <w:sz w:val="24"/>
              </w:rPr>
            </w:pPr>
            <w:bookmarkStart w:id="130" w:name="OLE_LINK4"/>
            <w:bookmarkStart w:id="131" w:name="OLE_LINK5"/>
            <w:r>
              <w:rPr>
                <w:rFonts w:hint="eastAsia" w:ascii="宋体" w:hAnsi="宋体" w:cs="宋体"/>
                <w:kern w:val="0"/>
                <w:sz w:val="24"/>
              </w:rPr>
              <w:sym w:font="Wingdings" w:char="F0A8"/>
            </w:r>
            <w:bookmarkEnd w:id="130"/>
            <w:r>
              <w:rPr>
                <w:rFonts w:hint="eastAsia" w:ascii="宋体" w:hAnsi="宋体" w:cs="宋体"/>
                <w:kern w:val="0"/>
                <w:sz w:val="24"/>
              </w:rPr>
              <w:t>满足</w:t>
            </w:r>
          </w:p>
          <w:p w14:paraId="2ABE3174">
            <w:pPr>
              <w:pStyle w:val="2"/>
              <w:ind w:firstLine="0" w:firstLineChars="0"/>
            </w:pPr>
            <w:r>
              <w:rPr>
                <w:rFonts w:hint="eastAsia" w:ascii="宋体" w:hAnsi="宋体" w:cs="宋体"/>
                <w:kern w:val="0"/>
                <w:sz w:val="24"/>
              </w:rPr>
              <w:sym w:font="Wingdings" w:char="F0A8"/>
            </w:r>
            <w:r>
              <w:rPr>
                <w:rFonts w:hint="eastAsia"/>
              </w:rPr>
              <w:t>不满足</w:t>
            </w:r>
            <w:bookmarkEnd w:id="131"/>
          </w:p>
        </w:tc>
      </w:tr>
      <w:tr w14:paraId="7FE7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563D10D">
            <w:pPr>
              <w:snapToGrid w:val="0"/>
              <w:spacing w:line="360" w:lineRule="auto"/>
              <w:jc w:val="center"/>
              <w:rPr>
                <w:rFonts w:hint="eastAsia" w:ascii="宋体" w:hAnsi="宋体" w:cs="宋体"/>
                <w:kern w:val="0"/>
                <w:sz w:val="24"/>
              </w:rPr>
            </w:pPr>
            <w:r>
              <w:rPr>
                <w:rFonts w:hint="eastAsia" w:ascii="宋体" w:hAnsi="宋体" w:cs="宋体"/>
                <w:kern w:val="0"/>
                <w:sz w:val="24"/>
              </w:rPr>
              <w:t>2</w:t>
            </w:r>
          </w:p>
        </w:tc>
        <w:tc>
          <w:tcPr>
            <w:tcW w:w="5703" w:type="dxa"/>
            <w:tcBorders>
              <w:top w:val="single" w:color="auto" w:sz="4" w:space="0"/>
              <w:left w:val="single" w:color="auto" w:sz="4" w:space="0"/>
              <w:bottom w:val="single" w:color="auto" w:sz="4" w:space="0"/>
              <w:right w:val="single" w:color="auto" w:sz="4" w:space="0"/>
            </w:tcBorders>
            <w:vAlign w:val="center"/>
          </w:tcPr>
          <w:p w14:paraId="1157C627">
            <w:pPr>
              <w:pStyle w:val="20"/>
              <w:widowControl/>
              <w:spacing w:before="75" w:beforeAutospacing="0" w:after="75" w:afterAutospacing="0" w:line="360" w:lineRule="auto"/>
              <w:jc w:val="both"/>
              <w:rPr>
                <w:rFonts w:hint="eastAsia" w:ascii="宋体" w:hAnsi="宋体" w:cs="宋体"/>
              </w:rPr>
            </w:pPr>
            <w:r>
              <w:rPr>
                <w:rFonts w:hint="eastAsia" w:ascii="宋体" w:hAnsi="宋体" w:cs="宋体"/>
              </w:rPr>
              <w:t>车辆动力类型为插电混动技术四驱越野车，纯电里程不小200公里，发动机排量不小于1.5T，具备行车充电功能，油品为汽油；</w:t>
            </w:r>
          </w:p>
        </w:tc>
        <w:tc>
          <w:tcPr>
            <w:tcW w:w="1819" w:type="dxa"/>
            <w:tcBorders>
              <w:top w:val="single" w:color="auto" w:sz="4" w:space="0"/>
              <w:left w:val="single" w:color="auto" w:sz="4" w:space="0"/>
              <w:bottom w:val="single" w:color="auto" w:sz="4" w:space="0"/>
              <w:right w:val="single" w:color="auto" w:sz="4" w:space="0"/>
            </w:tcBorders>
            <w:vAlign w:val="center"/>
          </w:tcPr>
          <w:p w14:paraId="68162EBC">
            <w:pPr>
              <w:snapToGrid w:val="0"/>
              <w:spacing w:line="360" w:lineRule="auto"/>
              <w:jc w:val="center"/>
              <w:rPr>
                <w:rFonts w:hint="eastAsia" w:ascii="宋体" w:hAnsi="宋体" w:cs="宋体"/>
                <w:kern w:val="0"/>
                <w:sz w:val="24"/>
              </w:rPr>
            </w:pPr>
            <w:r>
              <w:rPr>
                <w:rFonts w:hint="eastAsia" w:ascii="宋体" w:hAnsi="宋体" w:cs="宋体"/>
                <w:kern w:val="0"/>
                <w:sz w:val="24"/>
              </w:rPr>
              <w:sym w:font="Wingdings" w:char="F0A8"/>
            </w:r>
            <w:r>
              <w:rPr>
                <w:rFonts w:hint="eastAsia" w:ascii="宋体" w:hAnsi="宋体" w:cs="宋体"/>
                <w:kern w:val="0"/>
                <w:sz w:val="24"/>
              </w:rPr>
              <w:t>满足</w:t>
            </w:r>
          </w:p>
          <w:p w14:paraId="585CEC70">
            <w:pPr>
              <w:snapToGrid w:val="0"/>
              <w:spacing w:line="360" w:lineRule="auto"/>
              <w:jc w:val="center"/>
              <w:rPr>
                <w:rFonts w:hint="eastAsia" w:ascii="宋体" w:hAnsi="宋体" w:cs="宋体"/>
                <w:kern w:val="0"/>
                <w:sz w:val="24"/>
              </w:rPr>
            </w:pPr>
            <w:r>
              <w:rPr>
                <w:rFonts w:hint="eastAsia" w:ascii="宋体" w:hAnsi="宋体" w:cs="宋体"/>
                <w:kern w:val="0"/>
                <w:sz w:val="24"/>
              </w:rPr>
              <w:sym w:font="Wingdings" w:char="F0A8"/>
            </w:r>
            <w:r>
              <w:rPr>
                <w:rFonts w:hint="eastAsia"/>
              </w:rPr>
              <w:t>不满足</w:t>
            </w:r>
          </w:p>
        </w:tc>
      </w:tr>
      <w:tr w14:paraId="1B8C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6B7B2332">
            <w:pPr>
              <w:snapToGrid w:val="0"/>
              <w:spacing w:line="360" w:lineRule="auto"/>
              <w:jc w:val="center"/>
              <w:rPr>
                <w:rFonts w:hint="eastAsia" w:ascii="宋体" w:hAnsi="宋体" w:cs="宋体"/>
                <w:kern w:val="0"/>
                <w:sz w:val="24"/>
              </w:rPr>
            </w:pPr>
            <w:r>
              <w:rPr>
                <w:rFonts w:hint="eastAsia" w:ascii="宋体" w:hAnsi="宋体" w:cs="宋体"/>
                <w:kern w:val="0"/>
                <w:sz w:val="24"/>
              </w:rPr>
              <w:t>3</w:t>
            </w:r>
          </w:p>
        </w:tc>
        <w:tc>
          <w:tcPr>
            <w:tcW w:w="5703" w:type="dxa"/>
            <w:tcBorders>
              <w:top w:val="single" w:color="auto" w:sz="4" w:space="0"/>
              <w:left w:val="single" w:color="auto" w:sz="4" w:space="0"/>
              <w:bottom w:val="single" w:color="auto" w:sz="4" w:space="0"/>
              <w:right w:val="single" w:color="auto" w:sz="4" w:space="0"/>
            </w:tcBorders>
            <w:vAlign w:val="center"/>
          </w:tcPr>
          <w:p w14:paraId="6E0212E6">
            <w:pPr>
              <w:snapToGrid w:val="0"/>
              <w:spacing w:line="360" w:lineRule="auto"/>
              <w:rPr>
                <w:rFonts w:hint="eastAsia" w:ascii="宋体" w:hAnsi="宋体" w:cs="宋体"/>
                <w:kern w:val="0"/>
                <w:sz w:val="24"/>
              </w:rPr>
            </w:pPr>
            <w:r>
              <w:rPr>
                <w:rFonts w:hint="eastAsia" w:ascii="宋体" w:hAnsi="宋体" w:cs="宋体"/>
              </w:rPr>
              <w:t>车辆为五座车，车顶需有行李架安装支点，车辆底盘离地间隙不小于200mm；</w:t>
            </w:r>
          </w:p>
        </w:tc>
        <w:tc>
          <w:tcPr>
            <w:tcW w:w="1819" w:type="dxa"/>
            <w:tcBorders>
              <w:top w:val="single" w:color="auto" w:sz="4" w:space="0"/>
              <w:left w:val="single" w:color="auto" w:sz="4" w:space="0"/>
              <w:bottom w:val="single" w:color="auto" w:sz="4" w:space="0"/>
              <w:right w:val="single" w:color="auto" w:sz="4" w:space="0"/>
            </w:tcBorders>
            <w:vAlign w:val="center"/>
          </w:tcPr>
          <w:p w14:paraId="7C0C5E89">
            <w:pPr>
              <w:snapToGrid w:val="0"/>
              <w:spacing w:line="360" w:lineRule="auto"/>
              <w:jc w:val="center"/>
              <w:rPr>
                <w:rFonts w:hint="eastAsia" w:ascii="宋体" w:hAnsi="宋体" w:cs="宋体"/>
                <w:kern w:val="0"/>
                <w:sz w:val="24"/>
              </w:rPr>
            </w:pPr>
            <w:r>
              <w:rPr>
                <w:rFonts w:hint="eastAsia" w:ascii="宋体" w:hAnsi="宋体" w:cs="宋体"/>
                <w:kern w:val="0"/>
                <w:sz w:val="24"/>
              </w:rPr>
              <w:sym w:font="Wingdings" w:char="F0A8"/>
            </w:r>
            <w:r>
              <w:rPr>
                <w:rFonts w:hint="eastAsia" w:ascii="宋体" w:hAnsi="宋体" w:cs="宋体"/>
                <w:kern w:val="0"/>
                <w:sz w:val="24"/>
              </w:rPr>
              <w:t>满足</w:t>
            </w:r>
          </w:p>
          <w:p w14:paraId="579573EB">
            <w:pPr>
              <w:snapToGrid w:val="0"/>
              <w:spacing w:line="360" w:lineRule="auto"/>
              <w:jc w:val="center"/>
              <w:rPr>
                <w:rFonts w:hint="eastAsia" w:ascii="宋体" w:hAnsi="宋体" w:cs="宋体"/>
                <w:kern w:val="0"/>
                <w:sz w:val="24"/>
              </w:rPr>
            </w:pPr>
            <w:r>
              <w:rPr>
                <w:rFonts w:hint="eastAsia" w:ascii="宋体" w:hAnsi="宋体" w:cs="宋体"/>
                <w:kern w:val="0"/>
                <w:sz w:val="24"/>
              </w:rPr>
              <w:sym w:font="Wingdings" w:char="F0A8"/>
            </w:r>
            <w:r>
              <w:rPr>
                <w:rFonts w:hint="eastAsia"/>
              </w:rPr>
              <w:t>不满足</w:t>
            </w:r>
          </w:p>
        </w:tc>
      </w:tr>
      <w:tr w14:paraId="695B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06EA6ECD">
            <w:pPr>
              <w:snapToGrid w:val="0"/>
              <w:spacing w:line="360" w:lineRule="auto"/>
              <w:jc w:val="center"/>
              <w:rPr>
                <w:rFonts w:hint="eastAsia" w:ascii="宋体" w:hAnsi="宋体" w:cs="宋体"/>
                <w:kern w:val="0"/>
                <w:sz w:val="24"/>
              </w:rPr>
            </w:pPr>
            <w:r>
              <w:rPr>
                <w:rFonts w:hint="eastAsia" w:ascii="宋体" w:hAnsi="宋体" w:cs="宋体"/>
                <w:kern w:val="0"/>
                <w:sz w:val="24"/>
              </w:rPr>
              <w:t>4</w:t>
            </w:r>
          </w:p>
        </w:tc>
        <w:tc>
          <w:tcPr>
            <w:tcW w:w="5703" w:type="dxa"/>
            <w:tcBorders>
              <w:top w:val="single" w:color="auto" w:sz="4" w:space="0"/>
              <w:left w:val="single" w:color="auto" w:sz="4" w:space="0"/>
              <w:bottom w:val="single" w:color="auto" w:sz="4" w:space="0"/>
              <w:right w:val="single" w:color="auto" w:sz="4" w:space="0"/>
            </w:tcBorders>
            <w:vAlign w:val="center"/>
          </w:tcPr>
          <w:p w14:paraId="6AA953A3">
            <w:pPr>
              <w:snapToGrid w:val="0"/>
              <w:spacing w:line="360" w:lineRule="auto"/>
              <w:rPr>
                <w:rFonts w:hint="eastAsia" w:ascii="宋体" w:hAnsi="宋体" w:cs="宋体"/>
                <w:kern w:val="0"/>
                <w:sz w:val="24"/>
              </w:rPr>
            </w:pPr>
            <w:r>
              <w:rPr>
                <w:rFonts w:hint="eastAsia" w:ascii="宋体" w:hAnsi="宋体" w:cs="宋体"/>
              </w:rPr>
              <w:t>后备箱空间长宽高不小于700mmx600mmx550mm，须具备220V电源且功率不小于2000W，后备箱开门方式为单侧平开；</w:t>
            </w:r>
          </w:p>
        </w:tc>
        <w:tc>
          <w:tcPr>
            <w:tcW w:w="1819" w:type="dxa"/>
            <w:tcBorders>
              <w:top w:val="single" w:color="auto" w:sz="4" w:space="0"/>
              <w:left w:val="single" w:color="auto" w:sz="4" w:space="0"/>
              <w:bottom w:val="single" w:color="auto" w:sz="4" w:space="0"/>
              <w:right w:val="single" w:color="auto" w:sz="4" w:space="0"/>
            </w:tcBorders>
            <w:vAlign w:val="center"/>
          </w:tcPr>
          <w:p w14:paraId="19C8184F">
            <w:pPr>
              <w:snapToGrid w:val="0"/>
              <w:spacing w:line="360" w:lineRule="auto"/>
              <w:jc w:val="center"/>
              <w:rPr>
                <w:rFonts w:hint="eastAsia" w:ascii="宋体" w:hAnsi="宋体" w:cs="宋体"/>
                <w:kern w:val="0"/>
                <w:sz w:val="24"/>
              </w:rPr>
            </w:pPr>
            <w:r>
              <w:rPr>
                <w:rFonts w:hint="eastAsia" w:ascii="宋体" w:hAnsi="宋体" w:cs="宋体"/>
                <w:kern w:val="0"/>
                <w:sz w:val="24"/>
              </w:rPr>
              <w:sym w:font="Wingdings" w:char="F0A8"/>
            </w:r>
            <w:r>
              <w:rPr>
                <w:rFonts w:hint="eastAsia" w:ascii="宋体" w:hAnsi="宋体" w:cs="宋体"/>
                <w:kern w:val="0"/>
                <w:sz w:val="24"/>
              </w:rPr>
              <w:t>满足</w:t>
            </w:r>
          </w:p>
          <w:p w14:paraId="2EE6DA8D">
            <w:pPr>
              <w:snapToGrid w:val="0"/>
              <w:spacing w:line="360" w:lineRule="auto"/>
              <w:jc w:val="center"/>
              <w:rPr>
                <w:rFonts w:hint="eastAsia" w:ascii="宋体" w:hAnsi="宋体" w:cs="宋体"/>
                <w:kern w:val="0"/>
                <w:sz w:val="24"/>
              </w:rPr>
            </w:pPr>
            <w:r>
              <w:rPr>
                <w:rFonts w:hint="eastAsia" w:ascii="宋体" w:hAnsi="宋体" w:cs="宋体"/>
                <w:kern w:val="0"/>
                <w:sz w:val="24"/>
              </w:rPr>
              <w:sym w:font="Wingdings" w:char="F0A8"/>
            </w:r>
            <w:r>
              <w:rPr>
                <w:rFonts w:hint="eastAsia"/>
              </w:rPr>
              <w:t>不满足</w:t>
            </w:r>
          </w:p>
        </w:tc>
      </w:tr>
      <w:tr w14:paraId="4B2E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68EB1B58">
            <w:pPr>
              <w:snapToGrid w:val="0"/>
              <w:spacing w:line="360" w:lineRule="auto"/>
              <w:jc w:val="center"/>
              <w:rPr>
                <w:rFonts w:hint="eastAsia" w:ascii="宋体" w:hAnsi="宋体" w:cs="宋体"/>
                <w:kern w:val="0"/>
                <w:sz w:val="24"/>
              </w:rPr>
            </w:pPr>
            <w:r>
              <w:rPr>
                <w:rFonts w:hint="eastAsia" w:ascii="宋体" w:hAnsi="宋体" w:cs="宋体"/>
                <w:kern w:val="0"/>
                <w:sz w:val="24"/>
              </w:rPr>
              <w:t>5</w:t>
            </w:r>
          </w:p>
        </w:tc>
        <w:tc>
          <w:tcPr>
            <w:tcW w:w="5703" w:type="dxa"/>
            <w:tcBorders>
              <w:top w:val="single" w:color="auto" w:sz="4" w:space="0"/>
              <w:left w:val="single" w:color="auto" w:sz="4" w:space="0"/>
              <w:bottom w:val="single" w:color="auto" w:sz="4" w:space="0"/>
              <w:right w:val="single" w:color="auto" w:sz="4" w:space="0"/>
            </w:tcBorders>
            <w:vAlign w:val="center"/>
          </w:tcPr>
          <w:p w14:paraId="1E84FF9F">
            <w:pPr>
              <w:pStyle w:val="20"/>
              <w:widowControl/>
              <w:spacing w:before="75" w:beforeAutospacing="0" w:after="75" w:afterAutospacing="0" w:line="360" w:lineRule="auto"/>
              <w:jc w:val="both"/>
              <w:rPr>
                <w:rFonts w:hint="eastAsia" w:ascii="宋体" w:hAnsi="宋体" w:cs="宋体"/>
              </w:rPr>
            </w:pPr>
            <w:r>
              <w:rPr>
                <w:rFonts w:hint="eastAsia" w:ascii="宋体" w:hAnsi="宋体" w:cs="宋体"/>
              </w:rPr>
              <w:t>车辆前保险杠具备小牛栏安装接口；</w:t>
            </w:r>
          </w:p>
        </w:tc>
        <w:tc>
          <w:tcPr>
            <w:tcW w:w="1819" w:type="dxa"/>
            <w:tcBorders>
              <w:top w:val="single" w:color="auto" w:sz="4" w:space="0"/>
              <w:left w:val="single" w:color="auto" w:sz="4" w:space="0"/>
              <w:bottom w:val="single" w:color="auto" w:sz="4" w:space="0"/>
              <w:right w:val="single" w:color="auto" w:sz="4" w:space="0"/>
            </w:tcBorders>
            <w:vAlign w:val="center"/>
          </w:tcPr>
          <w:p w14:paraId="769D3D68">
            <w:pPr>
              <w:snapToGrid w:val="0"/>
              <w:spacing w:line="360" w:lineRule="auto"/>
              <w:jc w:val="center"/>
              <w:rPr>
                <w:rFonts w:hint="eastAsia" w:ascii="宋体" w:hAnsi="宋体" w:cs="宋体"/>
                <w:kern w:val="0"/>
                <w:sz w:val="24"/>
              </w:rPr>
            </w:pPr>
            <w:r>
              <w:rPr>
                <w:rFonts w:hint="eastAsia" w:ascii="宋体" w:hAnsi="宋体" w:cs="宋体"/>
                <w:kern w:val="0"/>
                <w:sz w:val="24"/>
              </w:rPr>
              <w:sym w:font="Wingdings" w:char="00A8"/>
            </w:r>
            <w:r>
              <w:rPr>
                <w:rFonts w:hint="eastAsia" w:ascii="宋体" w:hAnsi="宋体" w:cs="宋体"/>
                <w:kern w:val="0"/>
                <w:sz w:val="24"/>
              </w:rPr>
              <w:t>满足</w:t>
            </w:r>
          </w:p>
          <w:p w14:paraId="501EDDC4">
            <w:pPr>
              <w:snapToGrid w:val="0"/>
              <w:spacing w:line="360" w:lineRule="auto"/>
              <w:jc w:val="center"/>
              <w:rPr>
                <w:rFonts w:hint="eastAsia" w:ascii="宋体" w:hAnsi="宋体" w:cs="宋体"/>
                <w:kern w:val="0"/>
                <w:sz w:val="24"/>
              </w:rPr>
            </w:pPr>
            <w:r>
              <w:rPr>
                <w:rFonts w:hint="eastAsia" w:ascii="宋体" w:hAnsi="宋体" w:cs="宋体"/>
                <w:kern w:val="0"/>
                <w:sz w:val="24"/>
              </w:rPr>
              <w:sym w:font="Wingdings" w:char="F0A8"/>
            </w:r>
            <w:r>
              <w:rPr>
                <w:rFonts w:hint="eastAsia"/>
              </w:rPr>
              <w:t>不满足</w:t>
            </w:r>
          </w:p>
        </w:tc>
      </w:tr>
      <w:tr w14:paraId="3BDC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50DB41B4">
            <w:pPr>
              <w:snapToGrid w:val="0"/>
              <w:spacing w:line="360" w:lineRule="auto"/>
              <w:jc w:val="center"/>
              <w:rPr>
                <w:rFonts w:hint="eastAsia" w:ascii="宋体" w:hAnsi="宋体" w:cs="宋体"/>
                <w:kern w:val="0"/>
                <w:sz w:val="24"/>
              </w:rPr>
            </w:pPr>
            <w:r>
              <w:rPr>
                <w:rFonts w:hint="eastAsia" w:ascii="宋体" w:hAnsi="宋体" w:cs="宋体"/>
                <w:kern w:val="0"/>
                <w:sz w:val="24"/>
              </w:rPr>
              <w:t>6</w:t>
            </w:r>
          </w:p>
        </w:tc>
        <w:tc>
          <w:tcPr>
            <w:tcW w:w="5703" w:type="dxa"/>
            <w:tcBorders>
              <w:top w:val="single" w:color="auto" w:sz="4" w:space="0"/>
              <w:left w:val="single" w:color="auto" w:sz="4" w:space="0"/>
              <w:bottom w:val="single" w:color="auto" w:sz="4" w:space="0"/>
              <w:right w:val="single" w:color="auto" w:sz="4" w:space="0"/>
            </w:tcBorders>
            <w:vAlign w:val="center"/>
          </w:tcPr>
          <w:p w14:paraId="06747C12">
            <w:pPr>
              <w:snapToGrid w:val="0"/>
              <w:spacing w:line="360" w:lineRule="auto"/>
              <w:rPr>
                <w:rFonts w:hint="eastAsia" w:ascii="宋体" w:hAnsi="宋体" w:cs="宋体"/>
                <w:kern w:val="0"/>
                <w:sz w:val="24"/>
              </w:rPr>
            </w:pPr>
            <w:r>
              <w:rPr>
                <w:rFonts w:hint="eastAsia" w:ascii="宋体" w:hAnsi="宋体" w:cs="宋体"/>
              </w:rPr>
              <w:t>车辆总价为15-25万元。</w:t>
            </w:r>
          </w:p>
        </w:tc>
        <w:tc>
          <w:tcPr>
            <w:tcW w:w="1819" w:type="dxa"/>
            <w:tcBorders>
              <w:top w:val="single" w:color="auto" w:sz="4" w:space="0"/>
              <w:left w:val="single" w:color="auto" w:sz="4" w:space="0"/>
              <w:bottom w:val="single" w:color="auto" w:sz="4" w:space="0"/>
              <w:right w:val="single" w:color="auto" w:sz="4" w:space="0"/>
            </w:tcBorders>
            <w:vAlign w:val="center"/>
          </w:tcPr>
          <w:p w14:paraId="6CBF105D">
            <w:pPr>
              <w:snapToGrid w:val="0"/>
              <w:spacing w:line="360" w:lineRule="auto"/>
              <w:jc w:val="center"/>
              <w:rPr>
                <w:rFonts w:hint="eastAsia" w:ascii="宋体" w:hAnsi="宋体" w:cs="宋体"/>
                <w:kern w:val="0"/>
                <w:sz w:val="24"/>
              </w:rPr>
            </w:pPr>
            <w:r>
              <w:rPr>
                <w:rFonts w:hint="eastAsia" w:ascii="宋体" w:hAnsi="宋体" w:cs="宋体"/>
                <w:kern w:val="0"/>
                <w:sz w:val="24"/>
              </w:rPr>
              <w:sym w:font="Wingdings" w:char="F0A8"/>
            </w:r>
            <w:r>
              <w:rPr>
                <w:rFonts w:hint="eastAsia" w:ascii="宋体" w:hAnsi="宋体" w:cs="宋体"/>
                <w:kern w:val="0"/>
                <w:sz w:val="24"/>
              </w:rPr>
              <w:t>满足</w:t>
            </w:r>
          </w:p>
          <w:p w14:paraId="509694EC">
            <w:pPr>
              <w:snapToGrid w:val="0"/>
              <w:spacing w:line="360" w:lineRule="auto"/>
              <w:jc w:val="center"/>
              <w:rPr>
                <w:rFonts w:hint="eastAsia" w:ascii="宋体" w:hAnsi="宋体" w:cs="宋体"/>
                <w:kern w:val="0"/>
                <w:sz w:val="24"/>
              </w:rPr>
            </w:pPr>
            <w:r>
              <w:rPr>
                <w:rFonts w:hint="eastAsia" w:ascii="宋体" w:hAnsi="宋体" w:cs="宋体"/>
                <w:kern w:val="0"/>
                <w:sz w:val="24"/>
              </w:rPr>
              <w:sym w:font="Wingdings" w:char="F0A8"/>
            </w:r>
            <w:r>
              <w:rPr>
                <w:rFonts w:hint="eastAsia"/>
              </w:rPr>
              <w:t>不满足</w:t>
            </w:r>
          </w:p>
        </w:tc>
      </w:tr>
    </w:tbl>
    <w:p w14:paraId="02B0982C">
      <w:pPr>
        <w:snapToGrid w:val="0"/>
        <w:spacing w:line="360" w:lineRule="auto"/>
        <w:rPr>
          <w:rFonts w:hint="eastAsia" w:ascii="宋体" w:hAnsi="宋体" w:cs="宋体"/>
          <w:b/>
          <w:bCs/>
          <w:sz w:val="24"/>
        </w:rPr>
      </w:pPr>
      <w:r>
        <w:rPr>
          <w:rFonts w:hint="eastAsia" w:ascii="宋体" w:hAnsi="宋体" w:cs="宋体"/>
          <w:b/>
          <w:bCs/>
          <w:sz w:val="24"/>
        </w:rPr>
        <w:t>注：本表后附投标人改装车辆信息（包含但不限于响应内容以及底盘品牌及型号、轴距、承载能力、动力类型等）；提供样车（或同类车型）实拍图、技术参数表相关证明材料，并逐页盖章。</w:t>
      </w:r>
    </w:p>
    <w:p w14:paraId="4BCA7AD8">
      <w:pPr>
        <w:snapToGrid w:val="0"/>
        <w:spacing w:line="360" w:lineRule="auto"/>
        <w:rPr>
          <w:rFonts w:hint="eastAsia" w:ascii="宋体" w:hAnsi="宋体" w:cs="宋体"/>
          <w:sz w:val="24"/>
        </w:rPr>
      </w:pPr>
    </w:p>
    <w:p w14:paraId="31D7866A">
      <w:pPr>
        <w:snapToGrid w:val="0"/>
        <w:spacing w:line="360" w:lineRule="auto"/>
        <w:rPr>
          <w:rFonts w:hint="eastAsia" w:ascii="宋体" w:hAnsi="宋体" w:cs="宋体"/>
          <w:sz w:val="24"/>
        </w:rPr>
      </w:pPr>
    </w:p>
    <w:p w14:paraId="344C681A">
      <w:pPr>
        <w:pStyle w:val="2"/>
      </w:pPr>
    </w:p>
    <w:p w14:paraId="72426DE2">
      <w:pPr>
        <w:adjustRightInd w:val="0"/>
        <w:snapToGrid w:val="0"/>
        <w:spacing w:line="360" w:lineRule="auto"/>
        <w:jc w:val="right"/>
        <w:rPr>
          <w:bCs/>
          <w:sz w:val="24"/>
          <w:u w:val="single"/>
        </w:rPr>
      </w:pPr>
      <w:r>
        <w:rPr>
          <w:rFonts w:hint="eastAsia"/>
          <w:bCs/>
          <w:spacing w:val="120"/>
          <w:kern w:val="0"/>
          <w:sz w:val="24"/>
          <w:fitText w:val="1200" w:id="1925396042"/>
        </w:rPr>
        <w:t>投标</w:t>
      </w:r>
      <w:r>
        <w:rPr>
          <w:rFonts w:hint="eastAsia"/>
          <w:bCs/>
          <w:spacing w:val="0"/>
          <w:kern w:val="0"/>
          <w:sz w:val="24"/>
          <w:fitText w:val="1200" w:id="1925396042"/>
        </w:rPr>
        <w:t>人</w:t>
      </w:r>
      <w:r>
        <w:rPr>
          <w:rFonts w:hint="eastAsia"/>
          <w:bCs/>
          <w:sz w:val="24"/>
        </w:rPr>
        <w:t>：</w:t>
      </w:r>
      <w:r>
        <w:rPr>
          <w:rFonts w:hint="eastAsia"/>
          <w:bCs/>
          <w:sz w:val="24"/>
          <w:u w:val="single"/>
        </w:rPr>
        <w:t xml:space="preserve">            </w:t>
      </w:r>
      <w:r>
        <w:rPr>
          <w:rFonts w:hint="eastAsia"/>
          <w:bCs/>
          <w:sz w:val="24"/>
        </w:rPr>
        <w:t>（盖单位章）</w:t>
      </w:r>
    </w:p>
    <w:p w14:paraId="797E5908">
      <w:pPr>
        <w:adjustRightInd w:val="0"/>
        <w:snapToGrid w:val="0"/>
        <w:spacing w:line="360" w:lineRule="auto"/>
        <w:jc w:val="right"/>
        <w:rPr>
          <w:sz w:val="24"/>
        </w:rPr>
      </w:pPr>
      <w:r>
        <w:rPr>
          <w:rFonts w:hint="eastAsia"/>
          <w:spacing w:val="0"/>
          <w:kern w:val="0"/>
          <w:sz w:val="24"/>
          <w:fitText w:val="1200" w:id="187198315"/>
        </w:rPr>
        <w:t>法定代表人</w:t>
      </w:r>
      <w:r>
        <w:rPr>
          <w:rFonts w:hint="eastAsia"/>
          <w:sz w:val="24"/>
        </w:rPr>
        <w:t>：</w:t>
      </w:r>
      <w:r>
        <w:rPr>
          <w:rFonts w:hint="eastAsia"/>
          <w:bCs/>
          <w:sz w:val="24"/>
          <w:u w:val="single"/>
        </w:rPr>
        <w:t xml:space="preserve">          </w:t>
      </w:r>
      <w:r>
        <w:rPr>
          <w:rFonts w:hint="eastAsia"/>
          <w:sz w:val="24"/>
        </w:rPr>
        <w:t>（签字或盖章）</w:t>
      </w:r>
    </w:p>
    <w:p w14:paraId="7F2A7154">
      <w:pPr>
        <w:adjustRightInd w:val="0"/>
        <w:snapToGrid w:val="0"/>
        <w:spacing w:line="360" w:lineRule="auto"/>
        <w:jc w:val="right"/>
        <w:rPr>
          <w:rFonts w:eastAsia="黑体"/>
          <w:sz w:val="24"/>
        </w:rPr>
      </w:pPr>
      <w:r>
        <w:rPr>
          <w:rFonts w:hint="eastAsia"/>
          <w:bCs/>
          <w:spacing w:val="360"/>
          <w:kern w:val="0"/>
          <w:sz w:val="24"/>
          <w:fitText w:val="1200" w:id="2040075014"/>
        </w:rPr>
        <w:t>日</w:t>
      </w:r>
      <w:r>
        <w:rPr>
          <w:rFonts w:hint="eastAsia"/>
          <w:bCs/>
          <w:spacing w:val="0"/>
          <w:kern w:val="0"/>
          <w:sz w:val="24"/>
          <w:fitText w:val="1200" w:id="2040075014"/>
        </w:rPr>
        <w:t>期</w:t>
      </w:r>
      <w:r>
        <w:rPr>
          <w:rFonts w:hint="eastAsia"/>
          <w:sz w:val="24"/>
        </w:rPr>
        <w:t>：</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1A4A933D">
      <w:pPr>
        <w:snapToGrid w:val="0"/>
        <w:spacing w:line="360" w:lineRule="auto"/>
        <w:jc w:val="center"/>
        <w:rPr>
          <w:rFonts w:hint="eastAsia" w:ascii="宋体" w:hAnsi="宋体" w:cs="宋体"/>
          <w:sz w:val="24"/>
        </w:rPr>
      </w:pPr>
      <w:r>
        <w:rPr>
          <w:rFonts w:hint="eastAsia" w:ascii="宋体" w:hAnsi="宋体" w:cs="宋体"/>
          <w:sz w:val="24"/>
          <w:u w:val="single"/>
        </w:rPr>
        <w:br w:type="page"/>
      </w:r>
      <w:r>
        <w:rPr>
          <w:rFonts w:hint="eastAsia" w:ascii="宋体" w:hAnsi="宋体" w:cs="宋体"/>
          <w:sz w:val="24"/>
        </w:rPr>
        <w:t>四、资格证明文件</w:t>
      </w:r>
    </w:p>
    <w:p w14:paraId="39FF380B">
      <w:pPr>
        <w:spacing w:line="360" w:lineRule="auto"/>
        <w:rPr>
          <w:rFonts w:hint="eastAsia" w:ascii="宋体" w:hAnsi="宋体" w:cs="宋体"/>
          <w:sz w:val="24"/>
        </w:rPr>
      </w:pPr>
      <w:r>
        <w:rPr>
          <w:rFonts w:hint="eastAsia" w:ascii="宋体" w:hAnsi="宋体" w:cs="宋体"/>
          <w:sz w:val="24"/>
        </w:rPr>
        <w:t>（一）法人营业执照副本复印件</w:t>
      </w:r>
    </w:p>
    <w:p w14:paraId="0F15D045">
      <w:pPr>
        <w:spacing w:line="360" w:lineRule="auto"/>
        <w:rPr>
          <w:rFonts w:hint="eastAsia" w:ascii="宋体" w:hAnsi="宋体" w:cs="宋体"/>
          <w:sz w:val="24"/>
        </w:rPr>
      </w:pPr>
      <w:r>
        <w:rPr>
          <w:rFonts w:hint="eastAsia" w:ascii="宋体" w:hAnsi="宋体" w:cs="宋体"/>
          <w:sz w:val="24"/>
        </w:rPr>
        <w:t>（二）税务登记证复印件、组织机构代码证复印件（若已办理三证合一的企业可不提供）</w:t>
      </w:r>
    </w:p>
    <w:p w14:paraId="52E3AB7A">
      <w:pPr>
        <w:spacing w:line="360" w:lineRule="auto"/>
        <w:rPr>
          <w:rFonts w:hint="eastAsia" w:ascii="宋体" w:hAnsi="宋体" w:cs="宋体"/>
          <w:sz w:val="24"/>
        </w:rPr>
      </w:pPr>
      <w:r>
        <w:rPr>
          <w:rFonts w:hint="eastAsia" w:ascii="宋体" w:hAnsi="宋体" w:cs="宋体"/>
          <w:sz w:val="24"/>
        </w:rPr>
        <w:t>（三）法定代表人身份证复印件、被授权人身份证复印件</w:t>
      </w:r>
    </w:p>
    <w:p w14:paraId="03363AF2">
      <w:pPr>
        <w:spacing w:line="360" w:lineRule="auto"/>
        <w:rPr>
          <w:rFonts w:hint="eastAsia" w:ascii="宋体" w:hAnsi="宋体" w:cs="宋体"/>
          <w:color w:val="auto"/>
          <w:sz w:val="24"/>
        </w:rPr>
      </w:pPr>
      <w:r>
        <w:rPr>
          <w:rFonts w:hint="eastAsia" w:ascii="宋体" w:hAnsi="宋体" w:cs="宋体"/>
          <w:color w:val="auto"/>
          <w:sz w:val="24"/>
        </w:rPr>
        <w:t>（四）</w:t>
      </w:r>
      <w:r>
        <w:rPr>
          <w:rFonts w:hint="eastAsia" w:ascii="宋体" w:hAnsi="宋体" w:cs="宋体"/>
          <w:color w:val="auto"/>
          <w:sz w:val="24"/>
          <w:lang w:bidi="zh-CN"/>
        </w:rPr>
        <w:t>道路机动车辆生产企业准入资质（或对应专项改装资质）</w:t>
      </w:r>
      <w:r>
        <w:rPr>
          <w:rFonts w:hint="eastAsia" w:ascii="宋体" w:hAnsi="宋体" w:cs="宋体"/>
          <w:color w:val="auto"/>
          <w:sz w:val="24"/>
        </w:rPr>
        <w:t>的证明</w:t>
      </w:r>
    </w:p>
    <w:p w14:paraId="527FFE4D">
      <w:pPr>
        <w:spacing w:line="360" w:lineRule="auto"/>
        <w:rPr>
          <w:rFonts w:hint="eastAsia" w:ascii="宋体" w:hAnsi="宋体" w:cs="宋体"/>
          <w:sz w:val="24"/>
        </w:rPr>
      </w:pPr>
      <w:r>
        <w:rPr>
          <w:rFonts w:hint="eastAsia" w:ascii="宋体" w:hAnsi="宋体" w:cs="宋体"/>
          <w:sz w:val="24"/>
        </w:rPr>
        <w:t>（五）业绩证明资料</w:t>
      </w:r>
    </w:p>
    <w:p w14:paraId="134BA625">
      <w:pPr>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法定代表人授权书</w:t>
      </w:r>
    </w:p>
    <w:p w14:paraId="58319F93">
      <w:pPr>
        <w:spacing w:line="360" w:lineRule="auto"/>
        <w:rPr>
          <w:rFonts w:hint="eastAsia" w:ascii="宋体" w:hAnsi="宋体" w:cs="宋体"/>
          <w:b/>
          <w:sz w:val="24"/>
        </w:rPr>
      </w:pPr>
    </w:p>
    <w:p w14:paraId="02C3A4D8">
      <w:pPr>
        <w:snapToGrid w:val="0"/>
        <w:spacing w:line="360" w:lineRule="auto"/>
        <w:rPr>
          <w:rFonts w:hint="eastAsia" w:ascii="宋体" w:hAnsi="宋体" w:cs="宋体"/>
          <w:b/>
          <w:sz w:val="24"/>
        </w:rPr>
      </w:pPr>
    </w:p>
    <w:p w14:paraId="2697AF2A">
      <w:pPr>
        <w:snapToGrid w:val="0"/>
        <w:spacing w:line="360" w:lineRule="auto"/>
        <w:ind w:firstLine="480" w:firstLineChars="200"/>
        <w:rPr>
          <w:rFonts w:hint="eastAsia" w:ascii="宋体" w:hAnsi="宋体" w:cs="宋体"/>
          <w:sz w:val="24"/>
        </w:rPr>
      </w:pPr>
      <w:r>
        <w:rPr>
          <w:rFonts w:hint="eastAsia" w:ascii="宋体" w:hAnsi="宋体" w:cs="宋体"/>
          <w:sz w:val="24"/>
        </w:rPr>
        <w:t>本授权书声明：注册于的公司</w:t>
      </w:r>
      <w:r>
        <w:rPr>
          <w:rFonts w:hint="eastAsia" w:ascii="宋体" w:hAnsi="宋体" w:cs="宋体"/>
          <w:sz w:val="24"/>
          <w:u w:val="single"/>
        </w:rPr>
        <w:t xml:space="preserve">        （法定代表人姓名）</w:t>
      </w:r>
      <w:r>
        <w:rPr>
          <w:rFonts w:hint="eastAsia" w:ascii="宋体" w:hAnsi="宋体" w:cs="宋体"/>
          <w:sz w:val="24"/>
        </w:rPr>
        <w:t>代表本公司授权</w:t>
      </w:r>
      <w:r>
        <w:rPr>
          <w:rFonts w:hint="eastAsia" w:ascii="宋体" w:hAnsi="宋体" w:cs="宋体"/>
          <w:sz w:val="24"/>
          <w:u w:val="single"/>
        </w:rPr>
        <w:t xml:space="preserve">      （被授权人的姓名）联系电话：              </w:t>
      </w:r>
      <w:r>
        <w:rPr>
          <w:rFonts w:hint="eastAsia" w:ascii="宋体" w:hAnsi="宋体" w:cs="宋体"/>
          <w:sz w:val="24"/>
        </w:rPr>
        <w:t>为本公司的合法代理人，就项目的询价及合同的执行，以本公司名义处理一切与之有关的事务。</w:t>
      </w:r>
    </w:p>
    <w:p w14:paraId="242796AF">
      <w:pPr>
        <w:spacing w:line="360" w:lineRule="auto"/>
        <w:ind w:firstLine="480" w:firstLineChars="20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年   月   日</w:t>
      </w:r>
      <w:r>
        <w:rPr>
          <w:rFonts w:hint="eastAsia" w:ascii="宋体" w:hAnsi="宋体" w:cs="宋体"/>
          <w:sz w:val="24"/>
        </w:rPr>
        <w:t>签字生效，特此声明。</w:t>
      </w:r>
    </w:p>
    <w:p w14:paraId="1DCC7970">
      <w:pPr>
        <w:spacing w:line="360" w:lineRule="auto"/>
        <w:ind w:firstLine="480" w:firstLineChars="200"/>
        <w:rPr>
          <w:rFonts w:hint="eastAsia" w:ascii="宋体" w:hAnsi="宋体" w:cs="宋体"/>
          <w:sz w:val="24"/>
        </w:rPr>
      </w:pPr>
      <w:r>
        <w:rPr>
          <w:rFonts w:hint="eastAsia" w:ascii="宋体" w:hAnsi="宋体" w:cs="宋体"/>
          <w:sz w:val="24"/>
        </w:rPr>
        <w:t>（附：法定代表人身份证复印件、被授权人身份证复印件。法定代表人参加投标活动的，仅附法定代表人身份证复印件即可）</w:t>
      </w:r>
    </w:p>
    <w:p w14:paraId="485B8A90">
      <w:pPr>
        <w:snapToGrid w:val="0"/>
        <w:spacing w:line="360" w:lineRule="auto"/>
        <w:rPr>
          <w:rFonts w:hint="eastAsia" w:ascii="宋体" w:hAnsi="宋体" w:cs="宋体"/>
          <w:sz w:val="24"/>
        </w:rPr>
      </w:pPr>
    </w:p>
    <w:p w14:paraId="7ADF9E16">
      <w:pPr>
        <w:snapToGrid w:val="0"/>
        <w:spacing w:line="360" w:lineRule="auto"/>
        <w:rPr>
          <w:rFonts w:hint="eastAsia" w:ascii="宋体" w:hAnsi="宋体" w:cs="宋体"/>
          <w:sz w:val="24"/>
        </w:rPr>
      </w:pPr>
    </w:p>
    <w:p w14:paraId="6FC0A1C8">
      <w:pPr>
        <w:snapToGrid w:val="0"/>
        <w:spacing w:line="360" w:lineRule="auto"/>
        <w:rPr>
          <w:rFonts w:hint="eastAsia" w:ascii="宋体" w:hAnsi="宋体" w:cs="宋体"/>
          <w:sz w:val="24"/>
        </w:rPr>
      </w:pPr>
    </w:p>
    <w:p w14:paraId="4C0B7628">
      <w:pPr>
        <w:snapToGrid w:val="0"/>
        <w:spacing w:line="360" w:lineRule="auto"/>
        <w:ind w:firstLine="4800" w:firstLineChars="2000"/>
        <w:rPr>
          <w:rFonts w:hint="eastAsia" w:ascii="宋体" w:hAnsi="宋体" w:cs="宋体"/>
          <w:sz w:val="24"/>
          <w:u w:val="single"/>
        </w:rPr>
      </w:pPr>
      <w:r>
        <w:rPr>
          <w:rFonts w:hint="eastAsia" w:ascii="宋体" w:hAnsi="宋体" w:cs="宋体"/>
          <w:sz w:val="24"/>
        </w:rPr>
        <w:t>法定代表人签字：</w:t>
      </w:r>
    </w:p>
    <w:p w14:paraId="6EC0CA26">
      <w:pPr>
        <w:snapToGrid w:val="0"/>
        <w:spacing w:line="360" w:lineRule="auto"/>
        <w:rPr>
          <w:rFonts w:hint="eastAsia" w:ascii="宋体" w:hAnsi="宋体" w:cs="宋体"/>
          <w:sz w:val="24"/>
        </w:rPr>
      </w:pPr>
    </w:p>
    <w:p w14:paraId="75180A0A">
      <w:pPr>
        <w:snapToGrid w:val="0"/>
        <w:spacing w:line="360" w:lineRule="auto"/>
        <w:ind w:firstLine="5040" w:firstLineChars="2100"/>
        <w:rPr>
          <w:rFonts w:hint="eastAsia" w:ascii="宋体" w:hAnsi="宋体" w:cs="宋体"/>
          <w:sz w:val="24"/>
          <w:u w:val="single"/>
        </w:rPr>
      </w:pPr>
      <w:r>
        <w:rPr>
          <w:rFonts w:hint="eastAsia" w:ascii="宋体" w:hAnsi="宋体" w:cs="宋体"/>
          <w:sz w:val="24"/>
        </w:rPr>
        <w:t>被授权人签字：</w:t>
      </w:r>
    </w:p>
    <w:p w14:paraId="364613C0">
      <w:pPr>
        <w:snapToGrid w:val="0"/>
        <w:spacing w:line="360" w:lineRule="auto"/>
        <w:rPr>
          <w:rFonts w:hint="eastAsia" w:ascii="宋体" w:hAnsi="宋体" w:cs="宋体"/>
          <w:sz w:val="24"/>
        </w:rPr>
      </w:pPr>
    </w:p>
    <w:p w14:paraId="397078CE">
      <w:pPr>
        <w:snapToGrid w:val="0"/>
        <w:spacing w:line="360" w:lineRule="auto"/>
        <w:ind w:firstLine="3360" w:firstLineChars="1400"/>
        <w:rPr>
          <w:rFonts w:hint="eastAsia" w:ascii="宋体" w:hAnsi="宋体" w:cs="宋体"/>
          <w:sz w:val="24"/>
          <w:u w:val="single"/>
        </w:rPr>
      </w:pPr>
      <w:r>
        <w:rPr>
          <w:rFonts w:hint="eastAsia" w:ascii="宋体" w:hAnsi="宋体" w:cs="宋体"/>
          <w:sz w:val="24"/>
        </w:rPr>
        <w:t>单位名称（加盖公章）、电话：</w:t>
      </w:r>
    </w:p>
    <w:p w14:paraId="2AD73853">
      <w:pPr>
        <w:snapToGrid w:val="0"/>
        <w:spacing w:line="360" w:lineRule="auto"/>
        <w:rPr>
          <w:rFonts w:hint="eastAsia" w:ascii="宋体" w:hAnsi="宋体" w:cs="宋体"/>
          <w:sz w:val="24"/>
        </w:rPr>
      </w:pPr>
    </w:p>
    <w:p w14:paraId="1D98988E">
      <w:pPr>
        <w:spacing w:line="360" w:lineRule="auto"/>
        <w:jc w:val="center"/>
        <w:rPr>
          <w:rFonts w:hint="eastAsia" w:ascii="宋体" w:hAnsi="宋体" w:cs="宋体"/>
          <w:sz w:val="24"/>
        </w:rPr>
      </w:pPr>
    </w:p>
    <w:p w14:paraId="02212F3F">
      <w:pPr>
        <w:spacing w:line="360" w:lineRule="auto"/>
        <w:ind w:firstLine="480" w:firstLineChars="200"/>
        <w:rPr>
          <w:rFonts w:hint="eastAsia" w:ascii="宋体" w:hAnsi="宋体" w:cs="宋体"/>
          <w:kern w:val="0"/>
          <w:sz w:val="24"/>
        </w:rPr>
      </w:pPr>
    </w:p>
    <w:p w14:paraId="4E1E2514">
      <w:pPr>
        <w:spacing w:line="360" w:lineRule="auto"/>
        <w:ind w:firstLine="480" w:firstLineChars="200"/>
        <w:rPr>
          <w:rFonts w:hint="eastAsia" w:ascii="宋体" w:hAnsi="宋体" w:cs="宋体"/>
          <w:kern w:val="0"/>
          <w:sz w:val="24"/>
        </w:rPr>
      </w:pPr>
    </w:p>
    <w:p w14:paraId="75815C03">
      <w:pPr>
        <w:rPr>
          <w:rFonts w:hint="eastAsia" w:ascii="宋体" w:hAnsi="宋体" w:cs="宋体"/>
          <w:sz w:val="24"/>
        </w:rPr>
      </w:pPr>
    </w:p>
    <w:p w14:paraId="7EB3D792">
      <w:pPr>
        <w:spacing w:line="360" w:lineRule="auto"/>
        <w:jc w:val="center"/>
        <w:rPr>
          <w:rFonts w:hint="eastAsia" w:ascii="宋体" w:hAnsi="宋体" w:cs="宋体"/>
          <w:sz w:val="24"/>
        </w:rPr>
      </w:pPr>
    </w:p>
    <w:p w14:paraId="5461FF3D">
      <w:pPr>
        <w:spacing w:line="360" w:lineRule="auto"/>
        <w:jc w:val="center"/>
        <w:rPr>
          <w:rFonts w:hint="eastAsia" w:ascii="宋体" w:hAnsi="宋体" w:cs="宋体"/>
          <w:sz w:val="24"/>
        </w:rPr>
      </w:pPr>
    </w:p>
    <w:p w14:paraId="4E89A319">
      <w:pPr>
        <w:spacing w:line="360" w:lineRule="auto"/>
        <w:jc w:val="center"/>
        <w:rPr>
          <w:rFonts w:hint="eastAsia" w:ascii="宋体" w:hAnsi="宋体" w:cs="宋体"/>
          <w:sz w:val="24"/>
        </w:rPr>
      </w:pPr>
    </w:p>
    <w:p w14:paraId="1142CB0E">
      <w:pPr>
        <w:spacing w:line="360" w:lineRule="auto"/>
        <w:jc w:val="center"/>
        <w:rPr>
          <w:rFonts w:hint="eastAsia" w:ascii="宋体" w:hAnsi="宋体" w:cs="宋体"/>
          <w:sz w:val="24"/>
        </w:rPr>
      </w:pPr>
    </w:p>
    <w:p w14:paraId="4A748AD0">
      <w:pPr>
        <w:spacing w:line="360" w:lineRule="auto"/>
        <w:jc w:val="center"/>
        <w:rPr>
          <w:rFonts w:hint="eastAsia" w:ascii="宋体" w:hAnsi="宋体" w:cs="宋体"/>
          <w:sz w:val="24"/>
          <w:u w:val="single"/>
        </w:rPr>
      </w:pPr>
    </w:p>
    <w:p w14:paraId="73FE2646">
      <w:pPr>
        <w:snapToGrid w:val="0"/>
        <w:spacing w:line="360" w:lineRule="auto"/>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五、</w:t>
      </w:r>
      <w:bookmarkStart w:id="132" w:name="_Hlk196311887"/>
      <w:r>
        <w:rPr>
          <w:rFonts w:hint="eastAsia" w:ascii="宋体" w:hAnsi="宋体" w:cs="宋体"/>
          <w:sz w:val="24"/>
        </w:rPr>
        <w:t>诚信承诺书</w:t>
      </w:r>
      <w:bookmarkEnd w:id="132"/>
    </w:p>
    <w:p w14:paraId="780F4E07">
      <w:pPr>
        <w:spacing w:line="288" w:lineRule="auto"/>
        <w:rPr>
          <w:rFonts w:hint="eastAsia" w:ascii="宋体" w:hAnsi="宋体" w:cs="宋体"/>
          <w:sz w:val="24"/>
          <w:u w:val="single"/>
        </w:rPr>
      </w:pPr>
      <w:r>
        <w:rPr>
          <w:rFonts w:hint="eastAsia" w:ascii="宋体" w:hAnsi="宋体" w:cs="宋体"/>
          <w:sz w:val="24"/>
        </w:rPr>
        <w:t>致：</w:t>
      </w:r>
      <w:r>
        <w:rPr>
          <w:rFonts w:hint="eastAsia" w:ascii="宋体" w:hAnsi="宋体" w:cs="宋体"/>
          <w:kern w:val="0"/>
          <w:sz w:val="24"/>
        </w:rPr>
        <w:t>安徽交检交通发展研究中心有限责任公司</w:t>
      </w:r>
    </w:p>
    <w:p w14:paraId="7E315375">
      <w:pPr>
        <w:spacing w:line="360" w:lineRule="auto"/>
        <w:ind w:firstLine="420" w:firstLineChars="200"/>
        <w:rPr>
          <w:rFonts w:hint="eastAsia" w:ascii="宋体" w:hAnsi="宋体"/>
          <w:szCs w:val="21"/>
        </w:rPr>
      </w:pPr>
      <w:r>
        <w:rPr>
          <w:rFonts w:hint="eastAsia" w:ascii="宋体" w:hAnsi="宋体"/>
          <w:szCs w:val="21"/>
        </w:rPr>
        <w:t>我单位在参加项目的交易活动过程中，郑重承诺如下：</w:t>
      </w:r>
    </w:p>
    <w:p w14:paraId="455BA584">
      <w:pPr>
        <w:spacing w:line="360" w:lineRule="auto"/>
        <w:ind w:firstLine="420" w:firstLineChars="200"/>
        <w:rPr>
          <w:rFonts w:hint="eastAsia" w:ascii="宋体" w:hAnsi="宋体"/>
          <w:szCs w:val="21"/>
        </w:rPr>
      </w:pPr>
      <w:r>
        <w:rPr>
          <w:rFonts w:hint="eastAsia" w:ascii="宋体" w:hAnsi="宋体"/>
          <w:szCs w:val="21"/>
        </w:rPr>
        <w:t>一、确保提供的一切材料均为真实、合法和有效。</w:t>
      </w:r>
    </w:p>
    <w:p w14:paraId="67E99616">
      <w:pPr>
        <w:spacing w:line="360" w:lineRule="auto"/>
        <w:ind w:firstLine="420" w:firstLineChars="200"/>
        <w:rPr>
          <w:rFonts w:hint="eastAsia" w:ascii="宋体" w:hAnsi="宋体"/>
          <w:szCs w:val="21"/>
        </w:rPr>
      </w:pPr>
      <w:r>
        <w:rPr>
          <w:rFonts w:hint="eastAsia" w:ascii="宋体" w:hAnsi="宋体"/>
          <w:szCs w:val="21"/>
        </w:rPr>
        <w:t>二、不受让、租借他人资格、资质证书，不以他人名义投标；不以伪造、变造等其他方式弄虚作假，骗取中标。</w:t>
      </w:r>
    </w:p>
    <w:p w14:paraId="072FC1BB">
      <w:pPr>
        <w:spacing w:line="360" w:lineRule="auto"/>
        <w:ind w:firstLine="420" w:firstLineChars="200"/>
        <w:rPr>
          <w:rFonts w:hint="eastAsia" w:ascii="宋体" w:hAnsi="宋体"/>
          <w:szCs w:val="21"/>
        </w:rPr>
      </w:pPr>
      <w:r>
        <w:rPr>
          <w:rFonts w:hint="eastAsia" w:ascii="宋体" w:hAnsi="宋体"/>
          <w:szCs w:val="21"/>
        </w:rPr>
        <w:t>三、不与询价人、代理机构或其他供应商人串通投标。</w:t>
      </w:r>
    </w:p>
    <w:p w14:paraId="4E27E073">
      <w:pPr>
        <w:spacing w:line="360" w:lineRule="auto"/>
        <w:ind w:firstLine="420" w:firstLineChars="200"/>
        <w:rPr>
          <w:rFonts w:hint="eastAsia" w:ascii="宋体" w:hAnsi="宋体"/>
          <w:szCs w:val="21"/>
        </w:rPr>
      </w:pPr>
      <w:r>
        <w:rPr>
          <w:rFonts w:hint="eastAsia" w:ascii="宋体" w:hAnsi="宋体"/>
          <w:szCs w:val="21"/>
        </w:rPr>
        <w:t>四、不以向询价人、评标委员会成员或其他相关人员行贿方式牟取中标。</w:t>
      </w:r>
    </w:p>
    <w:p w14:paraId="6ADA7A7C">
      <w:pPr>
        <w:spacing w:line="360" w:lineRule="auto"/>
        <w:ind w:firstLine="420" w:firstLineChars="200"/>
        <w:rPr>
          <w:rFonts w:hint="eastAsia" w:ascii="宋体" w:hAnsi="宋体"/>
          <w:szCs w:val="21"/>
        </w:rPr>
      </w:pPr>
      <w:r>
        <w:rPr>
          <w:rFonts w:hint="eastAsia" w:ascii="宋体" w:hAnsi="宋体"/>
          <w:szCs w:val="21"/>
        </w:rPr>
        <w:t>五、在行使异议、质疑、投诉权利时，提供真实、合法、充分的材料，不捏造事实、伪造材料或以其他非法手段取得证明材料。</w:t>
      </w:r>
    </w:p>
    <w:p w14:paraId="5A99D7AA">
      <w:pPr>
        <w:spacing w:line="360" w:lineRule="auto"/>
        <w:ind w:firstLine="420" w:firstLineChars="200"/>
        <w:rPr>
          <w:rFonts w:hint="eastAsia" w:ascii="宋体" w:hAnsi="宋体"/>
          <w:szCs w:val="21"/>
        </w:rPr>
      </w:pPr>
      <w:r>
        <w:rPr>
          <w:rFonts w:hint="eastAsia" w:ascii="宋体" w:hAnsi="宋体"/>
          <w:szCs w:val="21"/>
        </w:rPr>
        <w:t>六、中标后，及时办理中标相关手续，并按照招标文件的约定，与询价人依法签订合同。</w:t>
      </w:r>
    </w:p>
    <w:p w14:paraId="5AF36EE5">
      <w:pPr>
        <w:spacing w:line="360" w:lineRule="auto"/>
        <w:ind w:firstLine="420" w:firstLineChars="200"/>
        <w:rPr>
          <w:rFonts w:hint="eastAsia" w:ascii="宋体" w:hAnsi="宋体"/>
          <w:szCs w:val="21"/>
        </w:rPr>
      </w:pPr>
      <w:r>
        <w:rPr>
          <w:rFonts w:hint="eastAsia" w:ascii="宋体" w:hAnsi="宋体"/>
          <w:szCs w:val="21"/>
        </w:rPr>
        <w:t>七、在履约过程中，严格按照交易文件及合同约定履行义务；除法律法规允许外，在价格、质量、工期（供货期）、人员组成等方面不做任何有悖于询价文件实质性内容行为。</w:t>
      </w:r>
    </w:p>
    <w:p w14:paraId="47F234BD">
      <w:pPr>
        <w:spacing w:line="360" w:lineRule="auto"/>
        <w:ind w:firstLine="420" w:firstLineChars="200"/>
        <w:rPr>
          <w:rFonts w:hint="eastAsia" w:ascii="宋体" w:hAnsi="宋体"/>
          <w:szCs w:val="21"/>
        </w:rPr>
      </w:pPr>
      <w:r>
        <w:rPr>
          <w:rFonts w:hint="eastAsia" w:ascii="宋体" w:hAnsi="宋体"/>
          <w:szCs w:val="21"/>
        </w:rPr>
        <w:t>八、至投标截止日，我公司不在受到招投标行政监管部门（或政府行业监管部门）限制投标的行政处罚期内，不在政府行业监管部门限制在本市承揽业务的行政处理期内。</w:t>
      </w:r>
    </w:p>
    <w:p w14:paraId="31DDFF91">
      <w:pPr>
        <w:spacing w:line="360" w:lineRule="auto"/>
        <w:ind w:firstLine="420" w:firstLineChars="200"/>
        <w:rPr>
          <w:rFonts w:hint="eastAsia" w:ascii="宋体" w:hAnsi="宋体"/>
          <w:szCs w:val="21"/>
        </w:rPr>
      </w:pPr>
      <w:r>
        <w:rPr>
          <w:rFonts w:hint="eastAsia" w:ascii="宋体" w:hAnsi="宋体"/>
          <w:szCs w:val="21"/>
        </w:rPr>
        <w:t>九、至投标截止日，我公司未被人民法院列入失信被执行人、未被人力资源社会保障行政部门列入拖欠农民工工资“黑名单”、我公司近3年内无行贿犯罪记录。</w:t>
      </w:r>
    </w:p>
    <w:p w14:paraId="2CA22D67">
      <w:pPr>
        <w:spacing w:line="360" w:lineRule="auto"/>
        <w:ind w:firstLine="420" w:firstLineChars="200"/>
        <w:rPr>
          <w:rFonts w:hint="eastAsia" w:ascii="宋体" w:hAnsi="宋体"/>
          <w:szCs w:val="21"/>
        </w:rPr>
      </w:pPr>
      <w:r>
        <w:rPr>
          <w:rFonts w:hint="eastAsia" w:ascii="宋体" w:hAnsi="宋体"/>
          <w:szCs w:val="21"/>
        </w:rPr>
        <w:t>十、我公司没有下列行为：</w:t>
      </w:r>
    </w:p>
    <w:p w14:paraId="64B48615">
      <w:pPr>
        <w:spacing w:line="360" w:lineRule="auto"/>
        <w:ind w:firstLine="420" w:firstLineChars="200"/>
        <w:rPr>
          <w:rFonts w:hint="eastAsia" w:ascii="宋体" w:hAnsi="宋体"/>
          <w:szCs w:val="21"/>
        </w:rPr>
      </w:pPr>
      <w:r>
        <w:rPr>
          <w:rFonts w:hint="eastAsia" w:ascii="宋体" w:hAnsi="宋体"/>
          <w:szCs w:val="21"/>
        </w:rPr>
        <w:t>（1）被中国政府采购网（www.ccgp.gov.cn）列入政府采购严重违法失信行为记录名单；</w:t>
      </w:r>
    </w:p>
    <w:p w14:paraId="7C88C046">
      <w:pPr>
        <w:spacing w:line="360" w:lineRule="auto"/>
        <w:ind w:firstLine="420" w:firstLineChars="200"/>
        <w:rPr>
          <w:rFonts w:hint="eastAsia" w:ascii="宋体" w:hAnsi="宋体"/>
          <w:szCs w:val="21"/>
        </w:rPr>
      </w:pPr>
      <w:r>
        <w:rPr>
          <w:rFonts w:hint="eastAsia" w:ascii="宋体" w:hAnsi="宋体"/>
          <w:szCs w:val="21"/>
        </w:rPr>
        <w:t>（2）被“中国执行信息公开网”列入严重失信主体名单、失信被执行人、确定为重大税收违法失信主体（处罚期内）；</w:t>
      </w:r>
    </w:p>
    <w:p w14:paraId="254525CF">
      <w:pPr>
        <w:spacing w:line="360" w:lineRule="auto"/>
        <w:ind w:firstLine="420" w:firstLineChars="200"/>
        <w:rPr>
          <w:rFonts w:hint="eastAsia" w:ascii="宋体" w:hAnsi="宋体"/>
          <w:szCs w:val="21"/>
        </w:rPr>
      </w:pPr>
      <w:r>
        <w:rPr>
          <w:rFonts w:hint="eastAsia" w:ascii="宋体" w:hAnsi="宋体"/>
          <w:szCs w:val="21"/>
        </w:rPr>
        <w:t>（3）被国家企业</w:t>
      </w:r>
      <w:bookmarkStart w:id="133" w:name="_GoBack"/>
      <w:r>
        <w:rPr>
          <w:rFonts w:hint="eastAsia" w:ascii="宋体" w:hAnsi="宋体"/>
          <w:szCs w:val="21"/>
        </w:rPr>
        <w:t>信用</w:t>
      </w:r>
      <w:bookmarkEnd w:id="133"/>
      <w:r>
        <w:rPr>
          <w:rFonts w:hint="eastAsia" w:ascii="宋体" w:hAnsi="宋体"/>
          <w:szCs w:val="21"/>
        </w:rPr>
        <w:t>信息公示系统（www.gsxt.gov.cn）列入严重违法失信名单（处罚期内）。</w:t>
      </w:r>
    </w:p>
    <w:p w14:paraId="68C82AB9">
      <w:pPr>
        <w:spacing w:line="360" w:lineRule="auto"/>
        <w:ind w:firstLine="420" w:firstLineChars="200"/>
        <w:rPr>
          <w:rFonts w:hint="eastAsia" w:ascii="宋体" w:hAnsi="宋体"/>
          <w:szCs w:val="21"/>
        </w:rPr>
      </w:pPr>
      <w:r>
        <w:rPr>
          <w:rFonts w:hint="eastAsia" w:ascii="宋体" w:hAnsi="宋体"/>
          <w:szCs w:val="21"/>
        </w:rPr>
        <w:t>以上内容我单位已仔细阅读，若有违反承诺内容的行为，自愿接受限制投标资格、记入不良行为记录、取消中标资格、不予退还投标保证金等处罚或处理；给询价人或其他供应商造成损失的，自愿依法承担赔偿责任。</w:t>
      </w:r>
    </w:p>
    <w:p w14:paraId="621BE1B5">
      <w:pPr>
        <w:pStyle w:val="2"/>
        <w:rPr>
          <w:rFonts w:hint="eastAsia" w:ascii="宋体" w:hAnsi="宋体"/>
          <w:szCs w:val="21"/>
        </w:rPr>
      </w:pPr>
    </w:p>
    <w:p w14:paraId="62AEC92C"/>
    <w:p w14:paraId="666896D1">
      <w:pPr>
        <w:wordWrap w:val="0"/>
        <w:spacing w:line="480" w:lineRule="auto"/>
        <w:ind w:firstLine="420" w:firstLineChars="200"/>
        <w:jc w:val="right"/>
        <w:rPr>
          <w:rFonts w:hint="eastAsia" w:ascii="宋体" w:hAnsi="宋体" w:cs="宋体"/>
          <w:szCs w:val="21"/>
          <w:u w:val="single"/>
        </w:rPr>
      </w:pPr>
      <w:r>
        <w:rPr>
          <w:rFonts w:hint="eastAsia" w:ascii="宋体" w:hAnsi="宋体" w:cs="宋体"/>
          <w:szCs w:val="21"/>
        </w:rPr>
        <w:t>供应商：</w:t>
      </w:r>
      <w:r>
        <w:rPr>
          <w:rFonts w:hint="eastAsia" w:ascii="宋体" w:hAnsi="宋体" w:cs="宋体"/>
          <w:szCs w:val="21"/>
          <w:u w:val="single"/>
        </w:rPr>
        <w:t xml:space="preserve">（加盖公章）              </w:t>
      </w:r>
    </w:p>
    <w:p w14:paraId="556EB71A">
      <w:pPr>
        <w:wordWrap w:val="0"/>
        <w:spacing w:line="480" w:lineRule="auto"/>
        <w:ind w:firstLine="420" w:firstLineChars="200"/>
        <w:jc w:val="right"/>
        <w:rPr>
          <w:rFonts w:hint="eastAsia" w:ascii="宋体" w:hAnsi="宋体" w:cs="宋体"/>
          <w:bCs/>
          <w:szCs w:val="21"/>
        </w:rPr>
      </w:pPr>
      <w:r>
        <w:rPr>
          <w:rFonts w:hint="eastAsia" w:ascii="宋体" w:hAnsi="宋体" w:cs="宋体"/>
          <w:szCs w:val="21"/>
        </w:rPr>
        <w:t>法定代表人或授权代表：</w:t>
      </w:r>
      <w:r>
        <w:rPr>
          <w:rFonts w:hint="eastAsia" w:ascii="宋体" w:hAnsi="宋体" w:cs="宋体"/>
          <w:szCs w:val="21"/>
          <w:u w:val="single"/>
        </w:rPr>
        <w:t xml:space="preserve">（签字或盖章）            </w:t>
      </w:r>
    </w:p>
    <w:p w14:paraId="13733EDC">
      <w:pPr>
        <w:wordWrap w:val="0"/>
        <w:spacing w:line="360" w:lineRule="auto"/>
        <w:ind w:firstLine="420" w:firstLineChars="200"/>
        <w:jc w:val="right"/>
      </w:pPr>
      <w:r>
        <w:rPr>
          <w:rFonts w:hint="eastAsia" w:ascii="宋体" w:hAnsi="宋体" w:cs="宋体"/>
          <w:bCs/>
          <w:szCs w:val="21"/>
        </w:rPr>
        <w:t xml:space="preserve">日期：    </w:t>
      </w:r>
      <w:r>
        <w:rPr>
          <w:rFonts w:hint="eastAsia" w:ascii="宋体" w:hAnsi="宋体" w:cs="宋体"/>
          <w:szCs w:val="21"/>
        </w:rPr>
        <w:t xml:space="preserve">年    月    日        </w:t>
      </w:r>
    </w:p>
    <w:p w14:paraId="473F2C4D">
      <w:pPr>
        <w:spacing w:line="360" w:lineRule="auto"/>
        <w:ind w:firstLine="480" w:firstLineChars="200"/>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六、其他</w:t>
      </w:r>
    </w:p>
    <w:p w14:paraId="5D937085">
      <w:pPr>
        <w:spacing w:line="360" w:lineRule="auto"/>
        <w:jc w:val="center"/>
        <w:rPr>
          <w:rFonts w:ascii="宋体" w:cs="宋体"/>
          <w:kern w:val="0"/>
          <w:sz w:val="24"/>
        </w:rPr>
      </w:pPr>
      <w:r>
        <w:rPr>
          <w:rFonts w:hint="eastAsia" w:ascii="宋体" w:cs="宋体"/>
          <w:b/>
          <w:sz w:val="24"/>
        </w:rPr>
        <w:t>供应商完成的类似项目业绩一览表</w:t>
      </w:r>
    </w:p>
    <w:p w14:paraId="7C508364">
      <w:pPr>
        <w:spacing w:line="360" w:lineRule="auto"/>
        <w:rPr>
          <w:rFonts w:ascii="宋体" w:cs="宋体"/>
          <w:sz w:val="24"/>
        </w:rPr>
      </w:pPr>
      <w:r>
        <w:rPr>
          <w:rFonts w:hint="eastAsia" w:ascii="宋体" w:cs="宋体"/>
          <w:sz w:val="24"/>
        </w:rPr>
        <w:t>供应商名称：</w:t>
      </w:r>
      <w:r>
        <w:rPr>
          <w:rFonts w:hint="eastAsia" w:ascii="宋体" w:cs="宋体"/>
          <w:kern w:val="0"/>
          <w:sz w:val="24"/>
        </w:rPr>
        <w:t>（盖单位章）</w:t>
      </w:r>
    </w:p>
    <w:tbl>
      <w:tblPr>
        <w:tblStyle w:val="23"/>
        <w:tblW w:w="4813" w:type="pct"/>
        <w:jc w:val="center"/>
        <w:tblLayout w:type="autofit"/>
        <w:tblCellMar>
          <w:top w:w="0" w:type="dxa"/>
          <w:left w:w="108" w:type="dxa"/>
          <w:bottom w:w="0" w:type="dxa"/>
          <w:right w:w="108" w:type="dxa"/>
        </w:tblCellMar>
      </w:tblPr>
      <w:tblGrid>
        <w:gridCol w:w="779"/>
        <w:gridCol w:w="3971"/>
        <w:gridCol w:w="2550"/>
        <w:gridCol w:w="1913"/>
      </w:tblGrid>
      <w:tr w14:paraId="4B33C614">
        <w:tblPrEx>
          <w:tblCellMar>
            <w:top w:w="0" w:type="dxa"/>
            <w:left w:w="108" w:type="dxa"/>
            <w:bottom w:w="0" w:type="dxa"/>
            <w:right w:w="108" w:type="dxa"/>
          </w:tblCellMar>
        </w:tblPrEx>
        <w:trPr>
          <w:trHeight w:val="331" w:hRule="atLeast"/>
          <w:jc w:val="center"/>
        </w:trPr>
        <w:tc>
          <w:tcPr>
            <w:tcW w:w="423" w:type="pct"/>
            <w:tcBorders>
              <w:top w:val="single" w:color="000000" w:sz="4" w:space="0"/>
              <w:left w:val="single" w:color="000000" w:sz="4" w:space="0"/>
              <w:bottom w:val="single" w:color="000000" w:sz="4" w:space="0"/>
              <w:right w:val="nil"/>
            </w:tcBorders>
            <w:vAlign w:val="center"/>
          </w:tcPr>
          <w:p w14:paraId="37CD94CE">
            <w:pPr>
              <w:snapToGrid w:val="0"/>
              <w:jc w:val="center"/>
              <w:rPr>
                <w:rFonts w:ascii="宋体" w:cs="宋体"/>
                <w:sz w:val="24"/>
              </w:rPr>
            </w:pPr>
            <w:r>
              <w:rPr>
                <w:rFonts w:hint="eastAsia" w:ascii="宋体" w:cs="宋体"/>
                <w:sz w:val="24"/>
              </w:rPr>
              <w:t>序号</w:t>
            </w:r>
          </w:p>
        </w:tc>
        <w:tc>
          <w:tcPr>
            <w:tcW w:w="2155" w:type="pct"/>
            <w:tcBorders>
              <w:top w:val="single" w:color="000000" w:sz="4" w:space="0"/>
              <w:left w:val="single" w:color="000000" w:sz="4" w:space="0"/>
              <w:bottom w:val="single" w:color="000000" w:sz="4" w:space="0"/>
              <w:right w:val="nil"/>
            </w:tcBorders>
            <w:vAlign w:val="center"/>
          </w:tcPr>
          <w:p w14:paraId="64D277E1">
            <w:pPr>
              <w:snapToGrid w:val="0"/>
              <w:jc w:val="center"/>
              <w:rPr>
                <w:rFonts w:ascii="宋体" w:cs="宋体"/>
                <w:sz w:val="24"/>
              </w:rPr>
            </w:pPr>
            <w:r>
              <w:rPr>
                <w:rFonts w:hint="eastAsia" w:ascii="宋体" w:cs="宋体"/>
                <w:sz w:val="24"/>
              </w:rPr>
              <w:t>项目名称</w:t>
            </w:r>
          </w:p>
        </w:tc>
        <w:tc>
          <w:tcPr>
            <w:tcW w:w="1384" w:type="pct"/>
            <w:tcBorders>
              <w:top w:val="single" w:color="000000" w:sz="4" w:space="0"/>
              <w:left w:val="single" w:color="000000" w:sz="4" w:space="0"/>
              <w:bottom w:val="single" w:color="000000" w:sz="4" w:space="0"/>
              <w:right w:val="nil"/>
            </w:tcBorders>
            <w:vAlign w:val="center"/>
          </w:tcPr>
          <w:p w14:paraId="794DD2CB">
            <w:pPr>
              <w:snapToGrid w:val="0"/>
              <w:jc w:val="center"/>
              <w:rPr>
                <w:rFonts w:ascii="宋体" w:cs="宋体"/>
                <w:sz w:val="24"/>
              </w:rPr>
            </w:pPr>
            <w:r>
              <w:rPr>
                <w:rFonts w:hint="eastAsia" w:ascii="宋体" w:cs="宋体"/>
                <w:sz w:val="24"/>
              </w:rPr>
              <w:t>询价人</w:t>
            </w:r>
          </w:p>
        </w:tc>
        <w:tc>
          <w:tcPr>
            <w:tcW w:w="1038" w:type="pct"/>
            <w:tcBorders>
              <w:top w:val="single" w:color="000000" w:sz="4" w:space="0"/>
              <w:left w:val="single" w:color="000000" w:sz="4" w:space="0"/>
              <w:bottom w:val="single" w:color="000000" w:sz="4" w:space="0"/>
              <w:right w:val="single" w:color="000000" w:sz="4" w:space="0"/>
            </w:tcBorders>
            <w:vAlign w:val="center"/>
          </w:tcPr>
          <w:p w14:paraId="399CB0B4">
            <w:pPr>
              <w:snapToGrid w:val="0"/>
              <w:spacing w:line="260" w:lineRule="exact"/>
              <w:jc w:val="center"/>
              <w:rPr>
                <w:rFonts w:ascii="宋体" w:cs="宋体"/>
                <w:sz w:val="24"/>
              </w:rPr>
            </w:pPr>
            <w:r>
              <w:rPr>
                <w:rFonts w:hint="eastAsia" w:ascii="宋体" w:cs="宋体"/>
                <w:sz w:val="24"/>
              </w:rPr>
              <w:t>合同签订时间</w:t>
            </w:r>
          </w:p>
        </w:tc>
      </w:tr>
      <w:tr w14:paraId="6BEEF511">
        <w:tblPrEx>
          <w:tblCellMar>
            <w:top w:w="0" w:type="dxa"/>
            <w:left w:w="108" w:type="dxa"/>
            <w:bottom w:w="0" w:type="dxa"/>
            <w:right w:w="108" w:type="dxa"/>
          </w:tblCellMar>
        </w:tblPrEx>
        <w:trPr>
          <w:trHeight w:val="1134" w:hRule="atLeast"/>
          <w:jc w:val="center"/>
        </w:trPr>
        <w:tc>
          <w:tcPr>
            <w:tcW w:w="423" w:type="pct"/>
            <w:tcBorders>
              <w:top w:val="nil"/>
              <w:left w:val="single" w:color="000000" w:sz="4" w:space="0"/>
              <w:bottom w:val="single" w:color="000000" w:sz="4" w:space="0"/>
              <w:right w:val="nil"/>
            </w:tcBorders>
            <w:vAlign w:val="center"/>
          </w:tcPr>
          <w:p w14:paraId="1C42BB32">
            <w:pPr>
              <w:tabs>
                <w:tab w:val="left" w:pos="300"/>
              </w:tabs>
              <w:snapToGrid w:val="0"/>
              <w:jc w:val="center"/>
              <w:rPr>
                <w:rFonts w:ascii="宋体" w:cs="宋体"/>
                <w:sz w:val="24"/>
              </w:rPr>
            </w:pPr>
          </w:p>
        </w:tc>
        <w:tc>
          <w:tcPr>
            <w:tcW w:w="2155" w:type="pct"/>
            <w:tcBorders>
              <w:top w:val="nil"/>
              <w:left w:val="single" w:color="000000" w:sz="4" w:space="0"/>
              <w:bottom w:val="single" w:color="000000" w:sz="4" w:space="0"/>
              <w:right w:val="nil"/>
            </w:tcBorders>
            <w:vAlign w:val="center"/>
          </w:tcPr>
          <w:p w14:paraId="47141D0B">
            <w:pPr>
              <w:snapToGrid w:val="0"/>
              <w:jc w:val="center"/>
              <w:rPr>
                <w:rFonts w:ascii="宋体" w:cs="宋体"/>
                <w:sz w:val="24"/>
              </w:rPr>
            </w:pPr>
          </w:p>
        </w:tc>
        <w:tc>
          <w:tcPr>
            <w:tcW w:w="1384" w:type="pct"/>
            <w:tcBorders>
              <w:top w:val="nil"/>
              <w:left w:val="single" w:color="000000" w:sz="4" w:space="0"/>
              <w:bottom w:val="single" w:color="000000" w:sz="4" w:space="0"/>
              <w:right w:val="nil"/>
            </w:tcBorders>
            <w:vAlign w:val="center"/>
          </w:tcPr>
          <w:p w14:paraId="69AB0B75">
            <w:pPr>
              <w:snapToGrid w:val="0"/>
              <w:jc w:val="center"/>
              <w:rPr>
                <w:rFonts w:ascii="宋体" w:cs="宋体"/>
                <w:sz w:val="24"/>
              </w:rPr>
            </w:pPr>
          </w:p>
        </w:tc>
        <w:tc>
          <w:tcPr>
            <w:tcW w:w="1038" w:type="pct"/>
            <w:tcBorders>
              <w:top w:val="nil"/>
              <w:left w:val="single" w:color="000000" w:sz="4" w:space="0"/>
              <w:bottom w:val="single" w:color="000000" w:sz="4" w:space="0"/>
              <w:right w:val="single" w:color="000000" w:sz="4" w:space="0"/>
            </w:tcBorders>
            <w:vAlign w:val="center"/>
          </w:tcPr>
          <w:p w14:paraId="61E366E3">
            <w:pPr>
              <w:snapToGrid w:val="0"/>
              <w:jc w:val="center"/>
              <w:rPr>
                <w:rFonts w:ascii="宋体" w:cs="宋体"/>
                <w:sz w:val="24"/>
              </w:rPr>
            </w:pPr>
          </w:p>
        </w:tc>
      </w:tr>
      <w:tr w14:paraId="4422E579">
        <w:tblPrEx>
          <w:tblCellMar>
            <w:top w:w="0" w:type="dxa"/>
            <w:left w:w="108" w:type="dxa"/>
            <w:bottom w:w="0" w:type="dxa"/>
            <w:right w:w="108" w:type="dxa"/>
          </w:tblCellMar>
        </w:tblPrEx>
        <w:trPr>
          <w:trHeight w:val="1134" w:hRule="atLeast"/>
          <w:jc w:val="center"/>
        </w:trPr>
        <w:tc>
          <w:tcPr>
            <w:tcW w:w="423" w:type="pct"/>
            <w:tcBorders>
              <w:top w:val="nil"/>
              <w:left w:val="single" w:color="000000" w:sz="4" w:space="0"/>
              <w:bottom w:val="single" w:color="000000" w:sz="4" w:space="0"/>
              <w:right w:val="nil"/>
            </w:tcBorders>
            <w:vAlign w:val="center"/>
          </w:tcPr>
          <w:p w14:paraId="493C8EE0">
            <w:pPr>
              <w:snapToGrid w:val="0"/>
              <w:jc w:val="center"/>
              <w:rPr>
                <w:rFonts w:ascii="宋体" w:cs="宋体"/>
                <w:sz w:val="24"/>
              </w:rPr>
            </w:pPr>
          </w:p>
        </w:tc>
        <w:tc>
          <w:tcPr>
            <w:tcW w:w="2155" w:type="pct"/>
            <w:tcBorders>
              <w:top w:val="nil"/>
              <w:left w:val="single" w:color="000000" w:sz="4" w:space="0"/>
              <w:bottom w:val="single" w:color="000000" w:sz="4" w:space="0"/>
              <w:right w:val="nil"/>
            </w:tcBorders>
            <w:vAlign w:val="center"/>
          </w:tcPr>
          <w:p w14:paraId="33421166">
            <w:pPr>
              <w:snapToGrid w:val="0"/>
              <w:jc w:val="center"/>
              <w:rPr>
                <w:rFonts w:ascii="宋体" w:cs="宋体"/>
                <w:sz w:val="24"/>
              </w:rPr>
            </w:pPr>
          </w:p>
        </w:tc>
        <w:tc>
          <w:tcPr>
            <w:tcW w:w="1384" w:type="pct"/>
            <w:tcBorders>
              <w:top w:val="nil"/>
              <w:left w:val="single" w:color="000000" w:sz="4" w:space="0"/>
              <w:bottom w:val="single" w:color="000000" w:sz="4" w:space="0"/>
              <w:right w:val="nil"/>
            </w:tcBorders>
            <w:vAlign w:val="center"/>
          </w:tcPr>
          <w:p w14:paraId="08A250B9">
            <w:pPr>
              <w:snapToGrid w:val="0"/>
              <w:jc w:val="center"/>
              <w:rPr>
                <w:rFonts w:ascii="宋体" w:cs="宋体"/>
                <w:sz w:val="24"/>
              </w:rPr>
            </w:pPr>
          </w:p>
        </w:tc>
        <w:tc>
          <w:tcPr>
            <w:tcW w:w="1038" w:type="pct"/>
            <w:tcBorders>
              <w:top w:val="nil"/>
              <w:left w:val="single" w:color="000000" w:sz="4" w:space="0"/>
              <w:bottom w:val="single" w:color="000000" w:sz="4" w:space="0"/>
              <w:right w:val="single" w:color="000000" w:sz="4" w:space="0"/>
            </w:tcBorders>
            <w:vAlign w:val="center"/>
          </w:tcPr>
          <w:p w14:paraId="55FF7471">
            <w:pPr>
              <w:snapToGrid w:val="0"/>
              <w:jc w:val="center"/>
              <w:rPr>
                <w:rFonts w:ascii="宋体" w:cs="宋体"/>
                <w:sz w:val="24"/>
              </w:rPr>
            </w:pPr>
          </w:p>
        </w:tc>
      </w:tr>
      <w:tr w14:paraId="7F14D457">
        <w:tblPrEx>
          <w:tblCellMar>
            <w:top w:w="0" w:type="dxa"/>
            <w:left w:w="108" w:type="dxa"/>
            <w:bottom w:w="0" w:type="dxa"/>
            <w:right w:w="108" w:type="dxa"/>
          </w:tblCellMar>
        </w:tblPrEx>
        <w:trPr>
          <w:trHeight w:val="1134" w:hRule="atLeast"/>
          <w:jc w:val="center"/>
        </w:trPr>
        <w:tc>
          <w:tcPr>
            <w:tcW w:w="423" w:type="pct"/>
            <w:tcBorders>
              <w:top w:val="nil"/>
              <w:left w:val="single" w:color="000000" w:sz="4" w:space="0"/>
              <w:bottom w:val="single" w:color="000000" w:sz="4" w:space="0"/>
              <w:right w:val="nil"/>
            </w:tcBorders>
            <w:vAlign w:val="center"/>
          </w:tcPr>
          <w:p w14:paraId="09CA254F">
            <w:pPr>
              <w:snapToGrid w:val="0"/>
              <w:jc w:val="center"/>
              <w:rPr>
                <w:rFonts w:ascii="宋体" w:cs="宋体"/>
                <w:sz w:val="24"/>
              </w:rPr>
            </w:pPr>
          </w:p>
        </w:tc>
        <w:tc>
          <w:tcPr>
            <w:tcW w:w="2155" w:type="pct"/>
            <w:tcBorders>
              <w:top w:val="nil"/>
              <w:left w:val="single" w:color="000000" w:sz="4" w:space="0"/>
              <w:bottom w:val="single" w:color="000000" w:sz="4" w:space="0"/>
              <w:right w:val="nil"/>
            </w:tcBorders>
            <w:vAlign w:val="center"/>
          </w:tcPr>
          <w:p w14:paraId="2B05ECB7">
            <w:pPr>
              <w:snapToGrid w:val="0"/>
              <w:jc w:val="center"/>
              <w:rPr>
                <w:rFonts w:ascii="宋体" w:cs="宋体"/>
                <w:sz w:val="24"/>
              </w:rPr>
            </w:pPr>
          </w:p>
        </w:tc>
        <w:tc>
          <w:tcPr>
            <w:tcW w:w="1384" w:type="pct"/>
            <w:tcBorders>
              <w:top w:val="nil"/>
              <w:left w:val="single" w:color="000000" w:sz="4" w:space="0"/>
              <w:bottom w:val="single" w:color="000000" w:sz="4" w:space="0"/>
              <w:right w:val="nil"/>
            </w:tcBorders>
            <w:vAlign w:val="center"/>
          </w:tcPr>
          <w:p w14:paraId="1D56F7FB">
            <w:pPr>
              <w:snapToGrid w:val="0"/>
              <w:jc w:val="center"/>
              <w:rPr>
                <w:rFonts w:ascii="宋体" w:cs="宋体"/>
                <w:sz w:val="24"/>
              </w:rPr>
            </w:pPr>
          </w:p>
        </w:tc>
        <w:tc>
          <w:tcPr>
            <w:tcW w:w="1038" w:type="pct"/>
            <w:tcBorders>
              <w:top w:val="nil"/>
              <w:left w:val="single" w:color="000000" w:sz="4" w:space="0"/>
              <w:bottom w:val="single" w:color="000000" w:sz="4" w:space="0"/>
              <w:right w:val="single" w:color="000000" w:sz="4" w:space="0"/>
            </w:tcBorders>
            <w:vAlign w:val="center"/>
          </w:tcPr>
          <w:p w14:paraId="2C74274F">
            <w:pPr>
              <w:snapToGrid w:val="0"/>
              <w:jc w:val="center"/>
              <w:rPr>
                <w:rFonts w:ascii="宋体" w:cs="宋体"/>
                <w:sz w:val="24"/>
              </w:rPr>
            </w:pPr>
          </w:p>
        </w:tc>
      </w:tr>
      <w:tr w14:paraId="76F01526">
        <w:tblPrEx>
          <w:tblCellMar>
            <w:top w:w="0" w:type="dxa"/>
            <w:left w:w="108" w:type="dxa"/>
            <w:bottom w:w="0" w:type="dxa"/>
            <w:right w:w="108" w:type="dxa"/>
          </w:tblCellMar>
        </w:tblPrEx>
        <w:trPr>
          <w:trHeight w:val="1134" w:hRule="atLeast"/>
          <w:jc w:val="center"/>
        </w:trPr>
        <w:tc>
          <w:tcPr>
            <w:tcW w:w="423" w:type="pct"/>
            <w:tcBorders>
              <w:top w:val="nil"/>
              <w:left w:val="single" w:color="000000" w:sz="4" w:space="0"/>
              <w:bottom w:val="single" w:color="000000" w:sz="4" w:space="0"/>
              <w:right w:val="nil"/>
            </w:tcBorders>
            <w:vAlign w:val="center"/>
          </w:tcPr>
          <w:p w14:paraId="5D231B38">
            <w:pPr>
              <w:snapToGrid w:val="0"/>
              <w:jc w:val="center"/>
              <w:rPr>
                <w:rFonts w:ascii="宋体" w:cs="宋体"/>
                <w:sz w:val="24"/>
              </w:rPr>
            </w:pPr>
          </w:p>
        </w:tc>
        <w:tc>
          <w:tcPr>
            <w:tcW w:w="2155" w:type="pct"/>
            <w:tcBorders>
              <w:top w:val="nil"/>
              <w:left w:val="single" w:color="000000" w:sz="4" w:space="0"/>
              <w:bottom w:val="single" w:color="000000" w:sz="4" w:space="0"/>
              <w:right w:val="nil"/>
            </w:tcBorders>
            <w:vAlign w:val="center"/>
          </w:tcPr>
          <w:p w14:paraId="26D818E0">
            <w:pPr>
              <w:snapToGrid w:val="0"/>
              <w:jc w:val="center"/>
              <w:rPr>
                <w:rFonts w:ascii="宋体" w:cs="宋体"/>
                <w:sz w:val="24"/>
              </w:rPr>
            </w:pPr>
          </w:p>
        </w:tc>
        <w:tc>
          <w:tcPr>
            <w:tcW w:w="1384" w:type="pct"/>
            <w:tcBorders>
              <w:top w:val="nil"/>
              <w:left w:val="single" w:color="000000" w:sz="4" w:space="0"/>
              <w:bottom w:val="single" w:color="000000" w:sz="4" w:space="0"/>
              <w:right w:val="nil"/>
            </w:tcBorders>
            <w:vAlign w:val="center"/>
          </w:tcPr>
          <w:p w14:paraId="4B3F0192">
            <w:pPr>
              <w:snapToGrid w:val="0"/>
              <w:jc w:val="center"/>
              <w:rPr>
                <w:rFonts w:ascii="宋体" w:cs="宋体"/>
                <w:sz w:val="24"/>
              </w:rPr>
            </w:pPr>
          </w:p>
        </w:tc>
        <w:tc>
          <w:tcPr>
            <w:tcW w:w="1038" w:type="pct"/>
            <w:tcBorders>
              <w:top w:val="nil"/>
              <w:left w:val="single" w:color="000000" w:sz="4" w:space="0"/>
              <w:bottom w:val="single" w:color="000000" w:sz="4" w:space="0"/>
              <w:right w:val="single" w:color="000000" w:sz="4" w:space="0"/>
            </w:tcBorders>
            <w:vAlign w:val="center"/>
          </w:tcPr>
          <w:p w14:paraId="4B2C20B8">
            <w:pPr>
              <w:snapToGrid w:val="0"/>
              <w:jc w:val="center"/>
              <w:rPr>
                <w:rFonts w:ascii="宋体" w:cs="宋体"/>
                <w:sz w:val="24"/>
              </w:rPr>
            </w:pPr>
          </w:p>
        </w:tc>
      </w:tr>
      <w:tr w14:paraId="379087ED">
        <w:tblPrEx>
          <w:tblCellMar>
            <w:top w:w="0" w:type="dxa"/>
            <w:left w:w="108" w:type="dxa"/>
            <w:bottom w:w="0" w:type="dxa"/>
            <w:right w:w="108" w:type="dxa"/>
          </w:tblCellMar>
        </w:tblPrEx>
        <w:trPr>
          <w:trHeight w:val="1134" w:hRule="atLeast"/>
          <w:jc w:val="center"/>
        </w:trPr>
        <w:tc>
          <w:tcPr>
            <w:tcW w:w="423" w:type="pct"/>
            <w:tcBorders>
              <w:top w:val="nil"/>
              <w:left w:val="single" w:color="000000" w:sz="4" w:space="0"/>
              <w:bottom w:val="single" w:color="000000" w:sz="4" w:space="0"/>
              <w:right w:val="nil"/>
            </w:tcBorders>
            <w:vAlign w:val="center"/>
          </w:tcPr>
          <w:p w14:paraId="736838A1">
            <w:pPr>
              <w:snapToGrid w:val="0"/>
              <w:jc w:val="center"/>
              <w:rPr>
                <w:rFonts w:ascii="宋体" w:cs="宋体"/>
                <w:sz w:val="24"/>
              </w:rPr>
            </w:pPr>
          </w:p>
        </w:tc>
        <w:tc>
          <w:tcPr>
            <w:tcW w:w="2155" w:type="pct"/>
            <w:tcBorders>
              <w:top w:val="nil"/>
              <w:left w:val="single" w:color="000000" w:sz="4" w:space="0"/>
              <w:bottom w:val="single" w:color="000000" w:sz="4" w:space="0"/>
              <w:right w:val="nil"/>
            </w:tcBorders>
            <w:vAlign w:val="center"/>
          </w:tcPr>
          <w:p w14:paraId="00517300">
            <w:pPr>
              <w:snapToGrid w:val="0"/>
              <w:jc w:val="center"/>
              <w:rPr>
                <w:rFonts w:ascii="宋体" w:cs="宋体"/>
                <w:sz w:val="24"/>
              </w:rPr>
            </w:pPr>
          </w:p>
        </w:tc>
        <w:tc>
          <w:tcPr>
            <w:tcW w:w="1384" w:type="pct"/>
            <w:tcBorders>
              <w:top w:val="nil"/>
              <w:left w:val="single" w:color="000000" w:sz="4" w:space="0"/>
              <w:bottom w:val="single" w:color="000000" w:sz="4" w:space="0"/>
              <w:right w:val="nil"/>
            </w:tcBorders>
            <w:vAlign w:val="center"/>
          </w:tcPr>
          <w:p w14:paraId="4FB579E0">
            <w:pPr>
              <w:snapToGrid w:val="0"/>
              <w:jc w:val="center"/>
              <w:rPr>
                <w:rFonts w:ascii="宋体" w:cs="宋体"/>
                <w:sz w:val="24"/>
              </w:rPr>
            </w:pPr>
          </w:p>
        </w:tc>
        <w:tc>
          <w:tcPr>
            <w:tcW w:w="1038" w:type="pct"/>
            <w:tcBorders>
              <w:top w:val="nil"/>
              <w:left w:val="single" w:color="000000" w:sz="4" w:space="0"/>
              <w:bottom w:val="single" w:color="000000" w:sz="4" w:space="0"/>
              <w:right w:val="single" w:color="000000" w:sz="4" w:space="0"/>
            </w:tcBorders>
            <w:vAlign w:val="center"/>
          </w:tcPr>
          <w:p w14:paraId="00116D08">
            <w:pPr>
              <w:snapToGrid w:val="0"/>
              <w:jc w:val="center"/>
              <w:rPr>
                <w:rFonts w:ascii="宋体" w:cs="宋体"/>
                <w:sz w:val="24"/>
              </w:rPr>
            </w:pPr>
          </w:p>
        </w:tc>
      </w:tr>
      <w:tr w14:paraId="7814AAF7">
        <w:tblPrEx>
          <w:tblCellMar>
            <w:top w:w="0" w:type="dxa"/>
            <w:left w:w="108" w:type="dxa"/>
            <w:bottom w:w="0" w:type="dxa"/>
            <w:right w:w="108" w:type="dxa"/>
          </w:tblCellMar>
        </w:tblPrEx>
        <w:trPr>
          <w:trHeight w:val="1134" w:hRule="atLeast"/>
          <w:jc w:val="center"/>
        </w:trPr>
        <w:tc>
          <w:tcPr>
            <w:tcW w:w="423" w:type="pct"/>
            <w:tcBorders>
              <w:top w:val="nil"/>
              <w:left w:val="single" w:color="000000" w:sz="4" w:space="0"/>
              <w:bottom w:val="single" w:color="000000" w:sz="4" w:space="0"/>
              <w:right w:val="nil"/>
            </w:tcBorders>
            <w:vAlign w:val="center"/>
          </w:tcPr>
          <w:p w14:paraId="3EBB5588">
            <w:pPr>
              <w:snapToGrid w:val="0"/>
              <w:jc w:val="center"/>
              <w:rPr>
                <w:rFonts w:ascii="宋体" w:cs="宋体"/>
                <w:sz w:val="24"/>
              </w:rPr>
            </w:pPr>
          </w:p>
        </w:tc>
        <w:tc>
          <w:tcPr>
            <w:tcW w:w="2155" w:type="pct"/>
            <w:tcBorders>
              <w:top w:val="nil"/>
              <w:left w:val="single" w:color="000000" w:sz="4" w:space="0"/>
              <w:bottom w:val="single" w:color="000000" w:sz="4" w:space="0"/>
              <w:right w:val="nil"/>
            </w:tcBorders>
            <w:vAlign w:val="center"/>
          </w:tcPr>
          <w:p w14:paraId="33CD1FFE">
            <w:pPr>
              <w:snapToGrid w:val="0"/>
              <w:jc w:val="center"/>
              <w:rPr>
                <w:rFonts w:ascii="宋体" w:cs="宋体"/>
                <w:sz w:val="24"/>
              </w:rPr>
            </w:pPr>
          </w:p>
        </w:tc>
        <w:tc>
          <w:tcPr>
            <w:tcW w:w="1384" w:type="pct"/>
            <w:tcBorders>
              <w:top w:val="nil"/>
              <w:left w:val="single" w:color="000000" w:sz="4" w:space="0"/>
              <w:bottom w:val="single" w:color="000000" w:sz="4" w:space="0"/>
              <w:right w:val="nil"/>
            </w:tcBorders>
            <w:vAlign w:val="center"/>
          </w:tcPr>
          <w:p w14:paraId="5F512817">
            <w:pPr>
              <w:snapToGrid w:val="0"/>
              <w:jc w:val="center"/>
              <w:rPr>
                <w:rFonts w:ascii="宋体" w:cs="宋体"/>
                <w:sz w:val="24"/>
              </w:rPr>
            </w:pPr>
          </w:p>
        </w:tc>
        <w:tc>
          <w:tcPr>
            <w:tcW w:w="1038" w:type="pct"/>
            <w:tcBorders>
              <w:top w:val="nil"/>
              <w:left w:val="single" w:color="000000" w:sz="4" w:space="0"/>
              <w:bottom w:val="single" w:color="000000" w:sz="4" w:space="0"/>
              <w:right w:val="single" w:color="000000" w:sz="4" w:space="0"/>
            </w:tcBorders>
            <w:vAlign w:val="center"/>
          </w:tcPr>
          <w:p w14:paraId="477BEBDF">
            <w:pPr>
              <w:snapToGrid w:val="0"/>
              <w:jc w:val="center"/>
              <w:rPr>
                <w:rFonts w:ascii="宋体" w:cs="宋体"/>
                <w:sz w:val="24"/>
              </w:rPr>
            </w:pPr>
          </w:p>
        </w:tc>
      </w:tr>
      <w:tr w14:paraId="4A36E224">
        <w:tblPrEx>
          <w:tblCellMar>
            <w:top w:w="0" w:type="dxa"/>
            <w:left w:w="108" w:type="dxa"/>
            <w:bottom w:w="0" w:type="dxa"/>
            <w:right w:w="108" w:type="dxa"/>
          </w:tblCellMar>
        </w:tblPrEx>
        <w:trPr>
          <w:trHeight w:val="1134" w:hRule="atLeast"/>
          <w:jc w:val="center"/>
        </w:trPr>
        <w:tc>
          <w:tcPr>
            <w:tcW w:w="423" w:type="pct"/>
            <w:tcBorders>
              <w:top w:val="nil"/>
              <w:left w:val="single" w:color="000000" w:sz="4" w:space="0"/>
              <w:bottom w:val="single" w:color="000000" w:sz="4" w:space="0"/>
              <w:right w:val="nil"/>
            </w:tcBorders>
            <w:vAlign w:val="center"/>
          </w:tcPr>
          <w:p w14:paraId="4BEFC795">
            <w:pPr>
              <w:snapToGrid w:val="0"/>
              <w:jc w:val="center"/>
              <w:rPr>
                <w:rFonts w:ascii="宋体" w:cs="宋体"/>
                <w:sz w:val="24"/>
              </w:rPr>
            </w:pPr>
          </w:p>
        </w:tc>
        <w:tc>
          <w:tcPr>
            <w:tcW w:w="2155" w:type="pct"/>
            <w:tcBorders>
              <w:top w:val="nil"/>
              <w:left w:val="single" w:color="000000" w:sz="4" w:space="0"/>
              <w:bottom w:val="single" w:color="000000" w:sz="4" w:space="0"/>
              <w:right w:val="nil"/>
            </w:tcBorders>
            <w:vAlign w:val="center"/>
          </w:tcPr>
          <w:p w14:paraId="48C870BA">
            <w:pPr>
              <w:snapToGrid w:val="0"/>
              <w:jc w:val="center"/>
              <w:rPr>
                <w:rFonts w:ascii="宋体" w:cs="宋体"/>
                <w:sz w:val="24"/>
              </w:rPr>
            </w:pPr>
          </w:p>
        </w:tc>
        <w:tc>
          <w:tcPr>
            <w:tcW w:w="1384" w:type="pct"/>
            <w:tcBorders>
              <w:top w:val="nil"/>
              <w:left w:val="single" w:color="000000" w:sz="4" w:space="0"/>
              <w:bottom w:val="single" w:color="000000" w:sz="4" w:space="0"/>
              <w:right w:val="nil"/>
            </w:tcBorders>
            <w:vAlign w:val="center"/>
          </w:tcPr>
          <w:p w14:paraId="4C9961FE">
            <w:pPr>
              <w:snapToGrid w:val="0"/>
              <w:jc w:val="center"/>
              <w:rPr>
                <w:rFonts w:ascii="宋体" w:cs="宋体"/>
                <w:sz w:val="24"/>
              </w:rPr>
            </w:pPr>
          </w:p>
        </w:tc>
        <w:tc>
          <w:tcPr>
            <w:tcW w:w="1038" w:type="pct"/>
            <w:tcBorders>
              <w:top w:val="nil"/>
              <w:left w:val="single" w:color="000000" w:sz="4" w:space="0"/>
              <w:bottom w:val="single" w:color="000000" w:sz="4" w:space="0"/>
              <w:right w:val="single" w:color="000000" w:sz="4" w:space="0"/>
            </w:tcBorders>
            <w:vAlign w:val="center"/>
          </w:tcPr>
          <w:p w14:paraId="33511F9F">
            <w:pPr>
              <w:snapToGrid w:val="0"/>
              <w:jc w:val="center"/>
              <w:rPr>
                <w:rFonts w:ascii="宋体" w:cs="宋体"/>
                <w:sz w:val="24"/>
              </w:rPr>
            </w:pPr>
          </w:p>
        </w:tc>
      </w:tr>
      <w:tr w14:paraId="787D5AA1">
        <w:tblPrEx>
          <w:tblCellMar>
            <w:top w:w="0" w:type="dxa"/>
            <w:left w:w="108" w:type="dxa"/>
            <w:bottom w:w="0" w:type="dxa"/>
            <w:right w:w="108" w:type="dxa"/>
          </w:tblCellMar>
        </w:tblPrEx>
        <w:trPr>
          <w:trHeight w:val="1134" w:hRule="atLeast"/>
          <w:jc w:val="center"/>
        </w:trPr>
        <w:tc>
          <w:tcPr>
            <w:tcW w:w="423" w:type="pct"/>
            <w:tcBorders>
              <w:top w:val="nil"/>
              <w:left w:val="single" w:color="000000" w:sz="4" w:space="0"/>
              <w:bottom w:val="single" w:color="000000" w:sz="4" w:space="0"/>
              <w:right w:val="nil"/>
            </w:tcBorders>
            <w:vAlign w:val="center"/>
          </w:tcPr>
          <w:p w14:paraId="368E4E94">
            <w:pPr>
              <w:snapToGrid w:val="0"/>
              <w:jc w:val="center"/>
              <w:rPr>
                <w:rFonts w:ascii="宋体" w:cs="宋体"/>
                <w:sz w:val="24"/>
              </w:rPr>
            </w:pPr>
          </w:p>
        </w:tc>
        <w:tc>
          <w:tcPr>
            <w:tcW w:w="2155" w:type="pct"/>
            <w:tcBorders>
              <w:top w:val="nil"/>
              <w:left w:val="single" w:color="000000" w:sz="4" w:space="0"/>
              <w:bottom w:val="single" w:color="000000" w:sz="4" w:space="0"/>
              <w:right w:val="nil"/>
            </w:tcBorders>
            <w:vAlign w:val="center"/>
          </w:tcPr>
          <w:p w14:paraId="0C6952E5">
            <w:pPr>
              <w:snapToGrid w:val="0"/>
              <w:jc w:val="center"/>
              <w:rPr>
                <w:rFonts w:ascii="宋体" w:cs="宋体"/>
                <w:sz w:val="24"/>
              </w:rPr>
            </w:pPr>
          </w:p>
        </w:tc>
        <w:tc>
          <w:tcPr>
            <w:tcW w:w="1384" w:type="pct"/>
            <w:tcBorders>
              <w:top w:val="nil"/>
              <w:left w:val="single" w:color="000000" w:sz="4" w:space="0"/>
              <w:bottom w:val="single" w:color="000000" w:sz="4" w:space="0"/>
              <w:right w:val="nil"/>
            </w:tcBorders>
            <w:vAlign w:val="center"/>
          </w:tcPr>
          <w:p w14:paraId="3F9DC779">
            <w:pPr>
              <w:snapToGrid w:val="0"/>
              <w:jc w:val="center"/>
              <w:rPr>
                <w:rFonts w:ascii="宋体" w:cs="宋体"/>
                <w:sz w:val="24"/>
              </w:rPr>
            </w:pPr>
          </w:p>
        </w:tc>
        <w:tc>
          <w:tcPr>
            <w:tcW w:w="1038" w:type="pct"/>
            <w:tcBorders>
              <w:top w:val="nil"/>
              <w:left w:val="single" w:color="000000" w:sz="4" w:space="0"/>
              <w:bottom w:val="single" w:color="000000" w:sz="4" w:space="0"/>
              <w:right w:val="single" w:color="000000" w:sz="4" w:space="0"/>
            </w:tcBorders>
            <w:vAlign w:val="center"/>
          </w:tcPr>
          <w:p w14:paraId="22FA5436">
            <w:pPr>
              <w:snapToGrid w:val="0"/>
              <w:jc w:val="center"/>
              <w:rPr>
                <w:rFonts w:ascii="宋体" w:cs="宋体"/>
                <w:sz w:val="24"/>
              </w:rPr>
            </w:pPr>
          </w:p>
        </w:tc>
      </w:tr>
    </w:tbl>
    <w:p w14:paraId="7C0AC979">
      <w:pPr>
        <w:spacing w:line="360" w:lineRule="auto"/>
        <w:ind w:firstLine="482" w:firstLineChars="200"/>
        <w:rPr>
          <w:rFonts w:ascii="宋体" w:cs="宋体"/>
          <w:b/>
          <w:sz w:val="24"/>
        </w:rPr>
      </w:pPr>
      <w:r>
        <w:rPr>
          <w:rFonts w:hint="eastAsia" w:ascii="宋体" w:cs="宋体"/>
          <w:b/>
          <w:sz w:val="24"/>
        </w:rPr>
        <w:t>注：1、将合同复印件附在询价文件中；</w:t>
      </w:r>
    </w:p>
    <w:p w14:paraId="44E011E1">
      <w:pPr>
        <w:spacing w:line="360" w:lineRule="auto"/>
        <w:ind w:firstLine="964" w:firstLineChars="400"/>
        <w:rPr>
          <w:rFonts w:hint="eastAsia" w:ascii="宋体" w:hAnsi="宋体" w:cs="宋体"/>
          <w:b/>
          <w:bCs/>
          <w:kern w:val="0"/>
          <w:sz w:val="36"/>
          <w:szCs w:val="36"/>
        </w:rPr>
      </w:pPr>
      <w:r>
        <w:rPr>
          <w:rFonts w:hint="eastAsia" w:ascii="宋体" w:cs="宋体"/>
          <w:b/>
          <w:sz w:val="24"/>
        </w:rPr>
        <w:t>2、上述材料必须真实可信，如有弄虚作假，一旦被发现将按废标处理，并报请政府采购管理部门严肃处理，追究有关单位和人员的责任。</w:t>
      </w:r>
    </w:p>
    <w:sectPr>
      <w:footerReference r:id="rId6" w:type="default"/>
      <w:pgSz w:w="11906" w:h="16838"/>
      <w:pgMar w:top="1134" w:right="1134" w:bottom="1134" w:left="1417" w:header="680" w:footer="82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auto"/>
    <w:pitch w:val="default"/>
    <w:sig w:usb0="00000000" w:usb1="0000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黑体ＣＳ">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BA98C">
    <w:pPr>
      <w:pStyle w:val="15"/>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631F">
    <w:pPr>
      <w:tabs>
        <w:tab w:val="left" w:pos="5040"/>
      </w:tabs>
      <w:rPr>
        <w:color w:val="FFFFFF"/>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5A4D9C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yTswQCAAAFBAAADgAAAGRycy9lMm9Eb2MueG1srVPNjtMwEL4j8Q6W&#10;7zRthVAVNV0tWxUhLT/SwgNMHaexiD3W2G1SHgDegBMX7jxXn4Nx0nSX5bIHLtZ4PP7m+z6Pl1ed&#10;bcRBUzDoCjmbTKXQTmFp3K6Qnz9tXiykCBFcCQ06XcijDvJq9fzZsvW5nmONTalJMIgLeesLWcfo&#10;8ywLqtYWwgS9dnxYIVmIvKVdVhK0jG6bbD6dvspapNITKh0CZ9fDoTwj0lMAsaqM0mtUe6tdHFBJ&#10;NxBZUqiND3LVs60qreKHqgo6iqaQrDT2KzfheJvWbLWEfEfga6POFOApFB5psmAcN71ArSGC2JP5&#10;B8oaRRiwihOFNhuE9I6witn0kTd3NXjda2Grg7+YHv4frHp/+EjClDwJUjiw/OCnH99PP3+ffn0T&#10;85fJn9aHnMvuPBfG7jV2qTZpDf4W1ZcgHN7U4Hb6mgjbWkPJ/GbpZvbg6oATEsi2fYclN4J9xB6o&#10;q8gmQLZDMDq/zfHyNrqLQqWWi/liMeUjxWfjJvWAfLzuKcQ3Gq1IQSGJH7+Hh8NtiEPpWJK6OdyY&#10;puE85I37K8GYKdPTT4wH7rHbdlydNG2xPLIQwmGe+DdxUCN9laLlWSqk468jRfPWsRVp7MaAxmA7&#10;BuAUXyxklGIIb+IwnntPZlcz7mj2Ndu1Mb2Qew5nljwdvRXnSU7j93DfV93/3t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M9ck7MEAgAABQQAAA4AAAAAAAAAAQAgAAAAHgEAAGRycy9lMm9E&#10;b2MueG1sUEsFBgAAAAAGAAYAWQEAAJQFAAAAAA==&#10;">
              <v:fill on="f" focussize="0,0"/>
              <v:stroke on="f"/>
              <v:imagedata o:title=""/>
              <o:lock v:ext="edit" aspectratio="f"/>
              <v:textbox inset="0mm,0mm,0mm,0mm" style="mso-fit-shape-to-text:t;">
                <w:txbxContent>
                  <w:p w14:paraId="15A4D9C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r>
      <w:rPr>
        <w:color w:val="FFFFFF"/>
        <w:sz w:val="2"/>
        <w:szCs w:val="2"/>
      </w:rPr>
      <w:t>Selection</w:t>
    </w:r>
    <w:r>
      <w:rPr>
        <w:rFonts w:hint="eastAsia"/>
        <w:color w:val="FFFFFF"/>
        <w:sz w:val="2"/>
        <w:szCs w:val="2"/>
      </w:rPr>
      <w:t>aaaaaaaaaaaaaaaaaaaaaaaaaaaaaaaaaaaaaaaaaaaaaaaaaaaaaaaaaaaaaaaaaaaaaaaaaaaaaaa</w:t>
    </w:r>
    <w:r>
      <w:rPr>
        <w:color w:val="FFFFFF"/>
        <w:sz w:val="2"/>
        <w:szCs w:val="2"/>
      </w:rPr>
      <w:t>hF</w:t>
    </w:r>
  </w:p>
  <w:p w14:paraId="068E8F4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748E">
    <w:pPr>
      <w:pStyle w:val="15"/>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F4CB">
    <w:pPr>
      <w:pStyle w:val="16"/>
      <w:pBdr>
        <w:top w:val="none" w:color="auto" w:sz="0" w:space="1"/>
        <w:bottom w:val="thinThickSmallGap" w:color="auto" w:sz="12" w:space="1"/>
        <w:right w:val="none" w:color="auto" w:sz="0" w:space="4"/>
      </w:pBdr>
      <w:jc w:val="both"/>
    </w:pPr>
    <w:r>
      <w:rPr>
        <w:rFonts w:hint="eastAsia" w:ascii="宋体" w:hAnsi="宋体" w:cs="宋体"/>
      </w:rPr>
      <w:t xml:space="preserve">公路路况车辆改装公告申报及后续改装服务采购                                                   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51456"/>
    <w:multiLevelType w:val="singleLevel"/>
    <w:tmpl w:val="18651456"/>
    <w:lvl w:ilvl="0" w:tentative="0">
      <w:start w:val="1"/>
      <w:numFmt w:val="decimal"/>
      <w:lvlText w:val="%1．"/>
      <w:lvlJc w:val="left"/>
      <w:pPr>
        <w:tabs>
          <w:tab w:val="left"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5NjRhZWM4ZWM1ZGFkYjMzM2JiMWIxZGYyMGU2M2UifQ=="/>
  </w:docVars>
  <w:rsids>
    <w:rsidRoot w:val="004C2853"/>
    <w:rsid w:val="00002047"/>
    <w:rsid w:val="00002D80"/>
    <w:rsid w:val="000046DB"/>
    <w:rsid w:val="00005027"/>
    <w:rsid w:val="000050C3"/>
    <w:rsid w:val="000070FD"/>
    <w:rsid w:val="00010F59"/>
    <w:rsid w:val="00012257"/>
    <w:rsid w:val="00013779"/>
    <w:rsid w:val="00013901"/>
    <w:rsid w:val="0001619B"/>
    <w:rsid w:val="00020095"/>
    <w:rsid w:val="00022545"/>
    <w:rsid w:val="00024269"/>
    <w:rsid w:val="0002541B"/>
    <w:rsid w:val="00026C0F"/>
    <w:rsid w:val="00027308"/>
    <w:rsid w:val="00027CDB"/>
    <w:rsid w:val="00027F55"/>
    <w:rsid w:val="00035018"/>
    <w:rsid w:val="00042F83"/>
    <w:rsid w:val="000448E8"/>
    <w:rsid w:val="000475A8"/>
    <w:rsid w:val="000479CE"/>
    <w:rsid w:val="00054971"/>
    <w:rsid w:val="00055274"/>
    <w:rsid w:val="00055DB2"/>
    <w:rsid w:val="00057CDD"/>
    <w:rsid w:val="000603B6"/>
    <w:rsid w:val="00060581"/>
    <w:rsid w:val="00062BCA"/>
    <w:rsid w:val="00062EBC"/>
    <w:rsid w:val="0006481D"/>
    <w:rsid w:val="00066984"/>
    <w:rsid w:val="00066B22"/>
    <w:rsid w:val="00074CFE"/>
    <w:rsid w:val="00074EF5"/>
    <w:rsid w:val="00076EC2"/>
    <w:rsid w:val="00077886"/>
    <w:rsid w:val="000841A2"/>
    <w:rsid w:val="000849C4"/>
    <w:rsid w:val="00092DB0"/>
    <w:rsid w:val="00095CAF"/>
    <w:rsid w:val="000A3AC1"/>
    <w:rsid w:val="000A51F9"/>
    <w:rsid w:val="000A5517"/>
    <w:rsid w:val="000A7CAD"/>
    <w:rsid w:val="000B1353"/>
    <w:rsid w:val="000B1555"/>
    <w:rsid w:val="000B18A0"/>
    <w:rsid w:val="000B3354"/>
    <w:rsid w:val="000B4B83"/>
    <w:rsid w:val="000B58DA"/>
    <w:rsid w:val="000C5C30"/>
    <w:rsid w:val="000C67B9"/>
    <w:rsid w:val="000D25CE"/>
    <w:rsid w:val="000D66C8"/>
    <w:rsid w:val="000D6755"/>
    <w:rsid w:val="000D7A13"/>
    <w:rsid w:val="000E083F"/>
    <w:rsid w:val="000E120D"/>
    <w:rsid w:val="000E216A"/>
    <w:rsid w:val="000E4753"/>
    <w:rsid w:val="000E4AF7"/>
    <w:rsid w:val="000F0E14"/>
    <w:rsid w:val="000F17CE"/>
    <w:rsid w:val="000F3B12"/>
    <w:rsid w:val="00102439"/>
    <w:rsid w:val="00104CEF"/>
    <w:rsid w:val="001056C8"/>
    <w:rsid w:val="00105DD4"/>
    <w:rsid w:val="00106773"/>
    <w:rsid w:val="00107D82"/>
    <w:rsid w:val="001104A2"/>
    <w:rsid w:val="00110A07"/>
    <w:rsid w:val="00110AAA"/>
    <w:rsid w:val="0011132B"/>
    <w:rsid w:val="00115288"/>
    <w:rsid w:val="001201E1"/>
    <w:rsid w:val="001213EC"/>
    <w:rsid w:val="00121A7C"/>
    <w:rsid w:val="001232F3"/>
    <w:rsid w:val="00123AFD"/>
    <w:rsid w:val="00125D77"/>
    <w:rsid w:val="0012727F"/>
    <w:rsid w:val="0012737B"/>
    <w:rsid w:val="001300E2"/>
    <w:rsid w:val="00135E67"/>
    <w:rsid w:val="00136BE6"/>
    <w:rsid w:val="00137F33"/>
    <w:rsid w:val="00141BD8"/>
    <w:rsid w:val="00150FF0"/>
    <w:rsid w:val="001517F8"/>
    <w:rsid w:val="0015291B"/>
    <w:rsid w:val="0015327A"/>
    <w:rsid w:val="00154779"/>
    <w:rsid w:val="0015668F"/>
    <w:rsid w:val="00160AB6"/>
    <w:rsid w:val="001624A5"/>
    <w:rsid w:val="00163012"/>
    <w:rsid w:val="00166F84"/>
    <w:rsid w:val="001670EA"/>
    <w:rsid w:val="00167E12"/>
    <w:rsid w:val="0017010E"/>
    <w:rsid w:val="00170294"/>
    <w:rsid w:val="0017056F"/>
    <w:rsid w:val="001744D5"/>
    <w:rsid w:val="00174A24"/>
    <w:rsid w:val="00174A38"/>
    <w:rsid w:val="00174F9A"/>
    <w:rsid w:val="00182759"/>
    <w:rsid w:val="00182B69"/>
    <w:rsid w:val="00183D38"/>
    <w:rsid w:val="001855E8"/>
    <w:rsid w:val="00187EAC"/>
    <w:rsid w:val="0019536F"/>
    <w:rsid w:val="00196C59"/>
    <w:rsid w:val="001A4C28"/>
    <w:rsid w:val="001A531D"/>
    <w:rsid w:val="001B1D1F"/>
    <w:rsid w:val="001B3EF4"/>
    <w:rsid w:val="001B3F07"/>
    <w:rsid w:val="001B4423"/>
    <w:rsid w:val="001B7B4D"/>
    <w:rsid w:val="001C0B8B"/>
    <w:rsid w:val="001C25A9"/>
    <w:rsid w:val="001C69B1"/>
    <w:rsid w:val="001D2538"/>
    <w:rsid w:val="001D2EC0"/>
    <w:rsid w:val="001D4E3C"/>
    <w:rsid w:val="001D554E"/>
    <w:rsid w:val="001D5E77"/>
    <w:rsid w:val="001E0D74"/>
    <w:rsid w:val="001E4AB9"/>
    <w:rsid w:val="001E625C"/>
    <w:rsid w:val="001E6DAD"/>
    <w:rsid w:val="001F08DE"/>
    <w:rsid w:val="001F218A"/>
    <w:rsid w:val="001F2367"/>
    <w:rsid w:val="001F506B"/>
    <w:rsid w:val="001F7034"/>
    <w:rsid w:val="001F73E0"/>
    <w:rsid w:val="002003EF"/>
    <w:rsid w:val="002026E3"/>
    <w:rsid w:val="0020704F"/>
    <w:rsid w:val="002162FB"/>
    <w:rsid w:val="00220254"/>
    <w:rsid w:val="002212A7"/>
    <w:rsid w:val="00223884"/>
    <w:rsid w:val="00223FE0"/>
    <w:rsid w:val="00225E14"/>
    <w:rsid w:val="0023325C"/>
    <w:rsid w:val="00233A2A"/>
    <w:rsid w:val="002342C5"/>
    <w:rsid w:val="00234656"/>
    <w:rsid w:val="00236B16"/>
    <w:rsid w:val="00236C2B"/>
    <w:rsid w:val="00240C31"/>
    <w:rsid w:val="0024277E"/>
    <w:rsid w:val="00247E54"/>
    <w:rsid w:val="0025320D"/>
    <w:rsid w:val="002533C7"/>
    <w:rsid w:val="00255C92"/>
    <w:rsid w:val="00256089"/>
    <w:rsid w:val="00257670"/>
    <w:rsid w:val="00262082"/>
    <w:rsid w:val="00263637"/>
    <w:rsid w:val="002639DD"/>
    <w:rsid w:val="00270062"/>
    <w:rsid w:val="002725D7"/>
    <w:rsid w:val="00272E9D"/>
    <w:rsid w:val="00277743"/>
    <w:rsid w:val="00277925"/>
    <w:rsid w:val="00282825"/>
    <w:rsid w:val="00283625"/>
    <w:rsid w:val="00284A8B"/>
    <w:rsid w:val="0028665E"/>
    <w:rsid w:val="00290A75"/>
    <w:rsid w:val="0029353B"/>
    <w:rsid w:val="0029446C"/>
    <w:rsid w:val="0029604E"/>
    <w:rsid w:val="0029782E"/>
    <w:rsid w:val="00297BF5"/>
    <w:rsid w:val="002A1ADF"/>
    <w:rsid w:val="002A2D7D"/>
    <w:rsid w:val="002A4095"/>
    <w:rsid w:val="002A50BA"/>
    <w:rsid w:val="002A7CC8"/>
    <w:rsid w:val="002B17A3"/>
    <w:rsid w:val="002B2178"/>
    <w:rsid w:val="002B349B"/>
    <w:rsid w:val="002B5085"/>
    <w:rsid w:val="002C3A59"/>
    <w:rsid w:val="002C3DC8"/>
    <w:rsid w:val="002C49F6"/>
    <w:rsid w:val="002C7738"/>
    <w:rsid w:val="002C7EB8"/>
    <w:rsid w:val="002D0FA8"/>
    <w:rsid w:val="002D2D58"/>
    <w:rsid w:val="002E1275"/>
    <w:rsid w:val="002E5DED"/>
    <w:rsid w:val="002E7283"/>
    <w:rsid w:val="002F0CA9"/>
    <w:rsid w:val="002F1E83"/>
    <w:rsid w:val="002F50C7"/>
    <w:rsid w:val="002F53DB"/>
    <w:rsid w:val="00302A9D"/>
    <w:rsid w:val="00303EDF"/>
    <w:rsid w:val="00304B9C"/>
    <w:rsid w:val="003059FC"/>
    <w:rsid w:val="00317BFE"/>
    <w:rsid w:val="003222E1"/>
    <w:rsid w:val="003245A3"/>
    <w:rsid w:val="00324981"/>
    <w:rsid w:val="003300D5"/>
    <w:rsid w:val="003304C6"/>
    <w:rsid w:val="00331262"/>
    <w:rsid w:val="0033152B"/>
    <w:rsid w:val="00336361"/>
    <w:rsid w:val="0033703C"/>
    <w:rsid w:val="00340347"/>
    <w:rsid w:val="00342F9F"/>
    <w:rsid w:val="003447F9"/>
    <w:rsid w:val="00345398"/>
    <w:rsid w:val="00347B94"/>
    <w:rsid w:val="00350F1A"/>
    <w:rsid w:val="00353B9E"/>
    <w:rsid w:val="003564FB"/>
    <w:rsid w:val="00361275"/>
    <w:rsid w:val="00362B18"/>
    <w:rsid w:val="0036477D"/>
    <w:rsid w:val="00364B31"/>
    <w:rsid w:val="003652E2"/>
    <w:rsid w:val="0037010E"/>
    <w:rsid w:val="003705C6"/>
    <w:rsid w:val="00370B72"/>
    <w:rsid w:val="00370BA8"/>
    <w:rsid w:val="00370FB1"/>
    <w:rsid w:val="003745CA"/>
    <w:rsid w:val="00374D59"/>
    <w:rsid w:val="00375887"/>
    <w:rsid w:val="0037613C"/>
    <w:rsid w:val="00376B56"/>
    <w:rsid w:val="00383061"/>
    <w:rsid w:val="00384433"/>
    <w:rsid w:val="00386CE2"/>
    <w:rsid w:val="0038739E"/>
    <w:rsid w:val="0038754F"/>
    <w:rsid w:val="00391FB8"/>
    <w:rsid w:val="003A2CCF"/>
    <w:rsid w:val="003A4B9B"/>
    <w:rsid w:val="003A4F61"/>
    <w:rsid w:val="003B0438"/>
    <w:rsid w:val="003B1B75"/>
    <w:rsid w:val="003B2291"/>
    <w:rsid w:val="003B4721"/>
    <w:rsid w:val="003B4CEB"/>
    <w:rsid w:val="003B7A47"/>
    <w:rsid w:val="003B7E56"/>
    <w:rsid w:val="003C3F28"/>
    <w:rsid w:val="003C40F1"/>
    <w:rsid w:val="003D0EEC"/>
    <w:rsid w:val="003D1D19"/>
    <w:rsid w:val="003D3ACE"/>
    <w:rsid w:val="003D7CD8"/>
    <w:rsid w:val="003E3432"/>
    <w:rsid w:val="003E47D3"/>
    <w:rsid w:val="003E6210"/>
    <w:rsid w:val="003E7F4D"/>
    <w:rsid w:val="003F4836"/>
    <w:rsid w:val="003F5733"/>
    <w:rsid w:val="00401546"/>
    <w:rsid w:val="004035CF"/>
    <w:rsid w:val="0040367B"/>
    <w:rsid w:val="0040417C"/>
    <w:rsid w:val="004107EA"/>
    <w:rsid w:val="00411EE6"/>
    <w:rsid w:val="00412A30"/>
    <w:rsid w:val="00413625"/>
    <w:rsid w:val="004160EB"/>
    <w:rsid w:val="00416A3D"/>
    <w:rsid w:val="00421E05"/>
    <w:rsid w:val="004239B9"/>
    <w:rsid w:val="0042603B"/>
    <w:rsid w:val="00426CB4"/>
    <w:rsid w:val="00427ACE"/>
    <w:rsid w:val="004314C3"/>
    <w:rsid w:val="00431825"/>
    <w:rsid w:val="0043512C"/>
    <w:rsid w:val="00437879"/>
    <w:rsid w:val="00437FA2"/>
    <w:rsid w:val="00441F7C"/>
    <w:rsid w:val="004422AB"/>
    <w:rsid w:val="00442891"/>
    <w:rsid w:val="00445C57"/>
    <w:rsid w:val="004464EF"/>
    <w:rsid w:val="00450F08"/>
    <w:rsid w:val="00451D4D"/>
    <w:rsid w:val="004523C1"/>
    <w:rsid w:val="004536DC"/>
    <w:rsid w:val="004553B5"/>
    <w:rsid w:val="0045660F"/>
    <w:rsid w:val="0046267B"/>
    <w:rsid w:val="004641AD"/>
    <w:rsid w:val="0046798E"/>
    <w:rsid w:val="00467F04"/>
    <w:rsid w:val="00471249"/>
    <w:rsid w:val="00473440"/>
    <w:rsid w:val="00473CA8"/>
    <w:rsid w:val="0047623C"/>
    <w:rsid w:val="004806E8"/>
    <w:rsid w:val="00483390"/>
    <w:rsid w:val="0048376B"/>
    <w:rsid w:val="00483F12"/>
    <w:rsid w:val="00486063"/>
    <w:rsid w:val="004901FE"/>
    <w:rsid w:val="00494595"/>
    <w:rsid w:val="00495584"/>
    <w:rsid w:val="004A2877"/>
    <w:rsid w:val="004A3532"/>
    <w:rsid w:val="004A3939"/>
    <w:rsid w:val="004A58DE"/>
    <w:rsid w:val="004A7148"/>
    <w:rsid w:val="004B1F8C"/>
    <w:rsid w:val="004B2465"/>
    <w:rsid w:val="004B5655"/>
    <w:rsid w:val="004C1C29"/>
    <w:rsid w:val="004C2853"/>
    <w:rsid w:val="004C2BDE"/>
    <w:rsid w:val="004C2D2E"/>
    <w:rsid w:val="004C4029"/>
    <w:rsid w:val="004C4562"/>
    <w:rsid w:val="004C5DEE"/>
    <w:rsid w:val="004C7155"/>
    <w:rsid w:val="004D0C8F"/>
    <w:rsid w:val="004D0FC1"/>
    <w:rsid w:val="004D2E4D"/>
    <w:rsid w:val="004D3D2B"/>
    <w:rsid w:val="004D4B66"/>
    <w:rsid w:val="004D586A"/>
    <w:rsid w:val="004D5900"/>
    <w:rsid w:val="004D5F40"/>
    <w:rsid w:val="004D6121"/>
    <w:rsid w:val="004D694B"/>
    <w:rsid w:val="004D6BE7"/>
    <w:rsid w:val="004E34FB"/>
    <w:rsid w:val="004E3BF4"/>
    <w:rsid w:val="004E3EC7"/>
    <w:rsid w:val="004E431C"/>
    <w:rsid w:val="004E4ECC"/>
    <w:rsid w:val="004E5579"/>
    <w:rsid w:val="004E5F8F"/>
    <w:rsid w:val="004E6799"/>
    <w:rsid w:val="004E6DF1"/>
    <w:rsid w:val="004E6EB4"/>
    <w:rsid w:val="004E74B7"/>
    <w:rsid w:val="004E7D2C"/>
    <w:rsid w:val="004F2AF7"/>
    <w:rsid w:val="004F33C6"/>
    <w:rsid w:val="004F4545"/>
    <w:rsid w:val="004F7FAE"/>
    <w:rsid w:val="00501D2A"/>
    <w:rsid w:val="00504A35"/>
    <w:rsid w:val="00505B88"/>
    <w:rsid w:val="00505DA2"/>
    <w:rsid w:val="0051024F"/>
    <w:rsid w:val="005102A1"/>
    <w:rsid w:val="00510A5E"/>
    <w:rsid w:val="00511B01"/>
    <w:rsid w:val="0051451E"/>
    <w:rsid w:val="00516646"/>
    <w:rsid w:val="00516959"/>
    <w:rsid w:val="005176CE"/>
    <w:rsid w:val="00520654"/>
    <w:rsid w:val="00520701"/>
    <w:rsid w:val="00522EEC"/>
    <w:rsid w:val="00527C7F"/>
    <w:rsid w:val="00533458"/>
    <w:rsid w:val="00533541"/>
    <w:rsid w:val="005404BB"/>
    <w:rsid w:val="00540D92"/>
    <w:rsid w:val="00546050"/>
    <w:rsid w:val="00550F0F"/>
    <w:rsid w:val="00552DB4"/>
    <w:rsid w:val="00554864"/>
    <w:rsid w:val="0055515C"/>
    <w:rsid w:val="00555438"/>
    <w:rsid w:val="00555CA1"/>
    <w:rsid w:val="00557C5C"/>
    <w:rsid w:val="00560D4B"/>
    <w:rsid w:val="00561958"/>
    <w:rsid w:val="005649EA"/>
    <w:rsid w:val="005705C0"/>
    <w:rsid w:val="00571735"/>
    <w:rsid w:val="00574348"/>
    <w:rsid w:val="00574CB6"/>
    <w:rsid w:val="00576A2C"/>
    <w:rsid w:val="005801E1"/>
    <w:rsid w:val="005819AF"/>
    <w:rsid w:val="0058333A"/>
    <w:rsid w:val="00590101"/>
    <w:rsid w:val="00590387"/>
    <w:rsid w:val="00591B04"/>
    <w:rsid w:val="00595AEA"/>
    <w:rsid w:val="005971A8"/>
    <w:rsid w:val="005A072E"/>
    <w:rsid w:val="005A6DE9"/>
    <w:rsid w:val="005B1560"/>
    <w:rsid w:val="005B1B3C"/>
    <w:rsid w:val="005B28A4"/>
    <w:rsid w:val="005B58AD"/>
    <w:rsid w:val="005B7E26"/>
    <w:rsid w:val="005C0A7B"/>
    <w:rsid w:val="005C461F"/>
    <w:rsid w:val="005C4C21"/>
    <w:rsid w:val="005C525A"/>
    <w:rsid w:val="005C5A9D"/>
    <w:rsid w:val="005C6F3D"/>
    <w:rsid w:val="005D0010"/>
    <w:rsid w:val="005D2C18"/>
    <w:rsid w:val="005D524D"/>
    <w:rsid w:val="005D5617"/>
    <w:rsid w:val="005E3BAC"/>
    <w:rsid w:val="005E62DE"/>
    <w:rsid w:val="005E7188"/>
    <w:rsid w:val="005E7197"/>
    <w:rsid w:val="005E71DD"/>
    <w:rsid w:val="005E734F"/>
    <w:rsid w:val="005F1000"/>
    <w:rsid w:val="005F1951"/>
    <w:rsid w:val="005F43CE"/>
    <w:rsid w:val="005F46DD"/>
    <w:rsid w:val="005F555D"/>
    <w:rsid w:val="005F6D9D"/>
    <w:rsid w:val="005F7BD5"/>
    <w:rsid w:val="00600880"/>
    <w:rsid w:val="0060109D"/>
    <w:rsid w:val="006011B4"/>
    <w:rsid w:val="00601DCF"/>
    <w:rsid w:val="00602FC3"/>
    <w:rsid w:val="00612DFA"/>
    <w:rsid w:val="00613A62"/>
    <w:rsid w:val="006154C4"/>
    <w:rsid w:val="00615A3E"/>
    <w:rsid w:val="00617452"/>
    <w:rsid w:val="00620640"/>
    <w:rsid w:val="00620A2A"/>
    <w:rsid w:val="00625CD9"/>
    <w:rsid w:val="006269CD"/>
    <w:rsid w:val="0063301C"/>
    <w:rsid w:val="00633F36"/>
    <w:rsid w:val="00642E91"/>
    <w:rsid w:val="00643112"/>
    <w:rsid w:val="00645395"/>
    <w:rsid w:val="00645814"/>
    <w:rsid w:val="00652391"/>
    <w:rsid w:val="00652687"/>
    <w:rsid w:val="00653182"/>
    <w:rsid w:val="006552EF"/>
    <w:rsid w:val="00657DD9"/>
    <w:rsid w:val="00661D9F"/>
    <w:rsid w:val="00663690"/>
    <w:rsid w:val="00665FDD"/>
    <w:rsid w:val="00670032"/>
    <w:rsid w:val="00673E5D"/>
    <w:rsid w:val="00675233"/>
    <w:rsid w:val="00675B7B"/>
    <w:rsid w:val="00675E92"/>
    <w:rsid w:val="0068215A"/>
    <w:rsid w:val="00684726"/>
    <w:rsid w:val="0068542C"/>
    <w:rsid w:val="00690B51"/>
    <w:rsid w:val="00692EA8"/>
    <w:rsid w:val="00694E70"/>
    <w:rsid w:val="00695E1A"/>
    <w:rsid w:val="00695F57"/>
    <w:rsid w:val="006A03A0"/>
    <w:rsid w:val="006A0ED3"/>
    <w:rsid w:val="006A0F45"/>
    <w:rsid w:val="006A120E"/>
    <w:rsid w:val="006A2D07"/>
    <w:rsid w:val="006A2E59"/>
    <w:rsid w:val="006A309E"/>
    <w:rsid w:val="006A52C5"/>
    <w:rsid w:val="006A55A4"/>
    <w:rsid w:val="006A570C"/>
    <w:rsid w:val="006A57FF"/>
    <w:rsid w:val="006A5DC1"/>
    <w:rsid w:val="006A6472"/>
    <w:rsid w:val="006A70B3"/>
    <w:rsid w:val="006A76B4"/>
    <w:rsid w:val="006B0D04"/>
    <w:rsid w:val="006B508C"/>
    <w:rsid w:val="006B5926"/>
    <w:rsid w:val="006B66F8"/>
    <w:rsid w:val="006B7928"/>
    <w:rsid w:val="006C04AA"/>
    <w:rsid w:val="006C1D4D"/>
    <w:rsid w:val="006C3FA7"/>
    <w:rsid w:val="006C592C"/>
    <w:rsid w:val="006C70E4"/>
    <w:rsid w:val="006C736A"/>
    <w:rsid w:val="006D06AF"/>
    <w:rsid w:val="006D451A"/>
    <w:rsid w:val="006E31F2"/>
    <w:rsid w:val="006E38A9"/>
    <w:rsid w:val="006F66A1"/>
    <w:rsid w:val="00700021"/>
    <w:rsid w:val="007006EB"/>
    <w:rsid w:val="00701752"/>
    <w:rsid w:val="00701D76"/>
    <w:rsid w:val="007020D7"/>
    <w:rsid w:val="007028D3"/>
    <w:rsid w:val="00704B25"/>
    <w:rsid w:val="00706ABF"/>
    <w:rsid w:val="00710C5E"/>
    <w:rsid w:val="007112F4"/>
    <w:rsid w:val="00711ABB"/>
    <w:rsid w:val="0071208E"/>
    <w:rsid w:val="007120BD"/>
    <w:rsid w:val="00713496"/>
    <w:rsid w:val="00713BF1"/>
    <w:rsid w:val="00713D5F"/>
    <w:rsid w:val="007154C6"/>
    <w:rsid w:val="00715BB5"/>
    <w:rsid w:val="00716595"/>
    <w:rsid w:val="0071769E"/>
    <w:rsid w:val="00722179"/>
    <w:rsid w:val="00722BF5"/>
    <w:rsid w:val="00724FCB"/>
    <w:rsid w:val="007255B0"/>
    <w:rsid w:val="00726DD4"/>
    <w:rsid w:val="00730820"/>
    <w:rsid w:val="00731FA8"/>
    <w:rsid w:val="00732713"/>
    <w:rsid w:val="007346D1"/>
    <w:rsid w:val="007348AB"/>
    <w:rsid w:val="00736B15"/>
    <w:rsid w:val="0074286D"/>
    <w:rsid w:val="007437BA"/>
    <w:rsid w:val="007440DC"/>
    <w:rsid w:val="00746850"/>
    <w:rsid w:val="0075248B"/>
    <w:rsid w:val="007548E7"/>
    <w:rsid w:val="007550D1"/>
    <w:rsid w:val="007563DF"/>
    <w:rsid w:val="007571C5"/>
    <w:rsid w:val="00757312"/>
    <w:rsid w:val="00757656"/>
    <w:rsid w:val="00763C54"/>
    <w:rsid w:val="00763D04"/>
    <w:rsid w:val="00764825"/>
    <w:rsid w:val="00772D7C"/>
    <w:rsid w:val="007731E9"/>
    <w:rsid w:val="00773C42"/>
    <w:rsid w:val="00776C01"/>
    <w:rsid w:val="00776C67"/>
    <w:rsid w:val="00777970"/>
    <w:rsid w:val="007779B4"/>
    <w:rsid w:val="0078062F"/>
    <w:rsid w:val="00780D7A"/>
    <w:rsid w:val="007813EA"/>
    <w:rsid w:val="00782678"/>
    <w:rsid w:val="00782B91"/>
    <w:rsid w:val="00782CF6"/>
    <w:rsid w:val="00782D1C"/>
    <w:rsid w:val="00782D69"/>
    <w:rsid w:val="00783135"/>
    <w:rsid w:val="00784D99"/>
    <w:rsid w:val="00787562"/>
    <w:rsid w:val="007877BB"/>
    <w:rsid w:val="00790790"/>
    <w:rsid w:val="007918EE"/>
    <w:rsid w:val="00791FFF"/>
    <w:rsid w:val="007943C8"/>
    <w:rsid w:val="007956CC"/>
    <w:rsid w:val="00795A1B"/>
    <w:rsid w:val="00797342"/>
    <w:rsid w:val="007A1645"/>
    <w:rsid w:val="007A1EE6"/>
    <w:rsid w:val="007A2465"/>
    <w:rsid w:val="007A5162"/>
    <w:rsid w:val="007A5A01"/>
    <w:rsid w:val="007A6198"/>
    <w:rsid w:val="007A7589"/>
    <w:rsid w:val="007A7A4F"/>
    <w:rsid w:val="007B03C0"/>
    <w:rsid w:val="007B15F0"/>
    <w:rsid w:val="007B30C1"/>
    <w:rsid w:val="007B43E1"/>
    <w:rsid w:val="007B7673"/>
    <w:rsid w:val="007C0BFD"/>
    <w:rsid w:val="007C0F80"/>
    <w:rsid w:val="007C16AF"/>
    <w:rsid w:val="007C35CE"/>
    <w:rsid w:val="007C4359"/>
    <w:rsid w:val="007C5ADF"/>
    <w:rsid w:val="007C65FC"/>
    <w:rsid w:val="007C7F5F"/>
    <w:rsid w:val="007D3286"/>
    <w:rsid w:val="007D351B"/>
    <w:rsid w:val="007D3679"/>
    <w:rsid w:val="007D4574"/>
    <w:rsid w:val="007D576B"/>
    <w:rsid w:val="007D7675"/>
    <w:rsid w:val="007D7B6D"/>
    <w:rsid w:val="007E0B2A"/>
    <w:rsid w:val="007E244C"/>
    <w:rsid w:val="007E2FB9"/>
    <w:rsid w:val="007E4494"/>
    <w:rsid w:val="007E48B3"/>
    <w:rsid w:val="007E71FA"/>
    <w:rsid w:val="007E729D"/>
    <w:rsid w:val="007F24A1"/>
    <w:rsid w:val="007F2C19"/>
    <w:rsid w:val="00800A30"/>
    <w:rsid w:val="00801FAE"/>
    <w:rsid w:val="008024B7"/>
    <w:rsid w:val="0081215D"/>
    <w:rsid w:val="008145ED"/>
    <w:rsid w:val="00816357"/>
    <w:rsid w:val="00816ADD"/>
    <w:rsid w:val="00820E7B"/>
    <w:rsid w:val="00823AC0"/>
    <w:rsid w:val="00824963"/>
    <w:rsid w:val="0082667C"/>
    <w:rsid w:val="008322DE"/>
    <w:rsid w:val="008362D2"/>
    <w:rsid w:val="00840317"/>
    <w:rsid w:val="00840C0D"/>
    <w:rsid w:val="00841908"/>
    <w:rsid w:val="00851F7D"/>
    <w:rsid w:val="008521FD"/>
    <w:rsid w:val="00852FB4"/>
    <w:rsid w:val="00853658"/>
    <w:rsid w:val="00854AAF"/>
    <w:rsid w:val="008562E3"/>
    <w:rsid w:val="008575C2"/>
    <w:rsid w:val="008609FB"/>
    <w:rsid w:val="00863C40"/>
    <w:rsid w:val="00864B2C"/>
    <w:rsid w:val="00874A5C"/>
    <w:rsid w:val="00876568"/>
    <w:rsid w:val="008808AC"/>
    <w:rsid w:val="00882370"/>
    <w:rsid w:val="008834F1"/>
    <w:rsid w:val="008850C1"/>
    <w:rsid w:val="0089195F"/>
    <w:rsid w:val="00892027"/>
    <w:rsid w:val="00892A91"/>
    <w:rsid w:val="00892AF0"/>
    <w:rsid w:val="008931A0"/>
    <w:rsid w:val="00895494"/>
    <w:rsid w:val="00896EA4"/>
    <w:rsid w:val="00897FC4"/>
    <w:rsid w:val="008A4A17"/>
    <w:rsid w:val="008A4C26"/>
    <w:rsid w:val="008A63D4"/>
    <w:rsid w:val="008A6F2E"/>
    <w:rsid w:val="008B58F4"/>
    <w:rsid w:val="008C1045"/>
    <w:rsid w:val="008C752C"/>
    <w:rsid w:val="008C7F95"/>
    <w:rsid w:val="008D416F"/>
    <w:rsid w:val="008D4D46"/>
    <w:rsid w:val="008E0488"/>
    <w:rsid w:val="008E0D38"/>
    <w:rsid w:val="008E0F80"/>
    <w:rsid w:val="008E1EF5"/>
    <w:rsid w:val="008E403D"/>
    <w:rsid w:val="008E4CD5"/>
    <w:rsid w:val="008E4E5B"/>
    <w:rsid w:val="008E7044"/>
    <w:rsid w:val="008F1FB1"/>
    <w:rsid w:val="008F54FC"/>
    <w:rsid w:val="008F6A3C"/>
    <w:rsid w:val="008F7209"/>
    <w:rsid w:val="0090186D"/>
    <w:rsid w:val="00902192"/>
    <w:rsid w:val="00902E36"/>
    <w:rsid w:val="00902EFC"/>
    <w:rsid w:val="00906A48"/>
    <w:rsid w:val="00906EA3"/>
    <w:rsid w:val="0091348A"/>
    <w:rsid w:val="00915494"/>
    <w:rsid w:val="00916649"/>
    <w:rsid w:val="00920217"/>
    <w:rsid w:val="009225BB"/>
    <w:rsid w:val="009237EF"/>
    <w:rsid w:val="00924D3B"/>
    <w:rsid w:val="009307E1"/>
    <w:rsid w:val="00931DAE"/>
    <w:rsid w:val="00932D4B"/>
    <w:rsid w:val="009332B2"/>
    <w:rsid w:val="00933401"/>
    <w:rsid w:val="00933D6C"/>
    <w:rsid w:val="00933E53"/>
    <w:rsid w:val="009356B1"/>
    <w:rsid w:val="00935868"/>
    <w:rsid w:val="00936E59"/>
    <w:rsid w:val="009417C6"/>
    <w:rsid w:val="00943BE6"/>
    <w:rsid w:val="00944AC8"/>
    <w:rsid w:val="0094737E"/>
    <w:rsid w:val="009473D5"/>
    <w:rsid w:val="00947533"/>
    <w:rsid w:val="00952CE9"/>
    <w:rsid w:val="00955FC5"/>
    <w:rsid w:val="00956CCF"/>
    <w:rsid w:val="0095792A"/>
    <w:rsid w:val="00962355"/>
    <w:rsid w:val="00962C0D"/>
    <w:rsid w:val="009634BE"/>
    <w:rsid w:val="00965C48"/>
    <w:rsid w:val="009661E3"/>
    <w:rsid w:val="00966E5E"/>
    <w:rsid w:val="009672B5"/>
    <w:rsid w:val="00974737"/>
    <w:rsid w:val="00975841"/>
    <w:rsid w:val="00976031"/>
    <w:rsid w:val="009762F4"/>
    <w:rsid w:val="009774E8"/>
    <w:rsid w:val="00980F95"/>
    <w:rsid w:val="00983175"/>
    <w:rsid w:val="009835BF"/>
    <w:rsid w:val="00983B73"/>
    <w:rsid w:val="00984585"/>
    <w:rsid w:val="009866F4"/>
    <w:rsid w:val="00987C06"/>
    <w:rsid w:val="00991144"/>
    <w:rsid w:val="00992577"/>
    <w:rsid w:val="009928D0"/>
    <w:rsid w:val="009951B8"/>
    <w:rsid w:val="009952AC"/>
    <w:rsid w:val="0099669E"/>
    <w:rsid w:val="0099694B"/>
    <w:rsid w:val="009A0021"/>
    <w:rsid w:val="009A030D"/>
    <w:rsid w:val="009A38F4"/>
    <w:rsid w:val="009A521A"/>
    <w:rsid w:val="009A78A3"/>
    <w:rsid w:val="009B0666"/>
    <w:rsid w:val="009B2A24"/>
    <w:rsid w:val="009B2E0A"/>
    <w:rsid w:val="009B62DE"/>
    <w:rsid w:val="009B661A"/>
    <w:rsid w:val="009C1206"/>
    <w:rsid w:val="009C4ACA"/>
    <w:rsid w:val="009C4C71"/>
    <w:rsid w:val="009C6CE6"/>
    <w:rsid w:val="009C70D6"/>
    <w:rsid w:val="009D01B3"/>
    <w:rsid w:val="009D08CD"/>
    <w:rsid w:val="009D3566"/>
    <w:rsid w:val="009D747B"/>
    <w:rsid w:val="009E132F"/>
    <w:rsid w:val="009E1DA2"/>
    <w:rsid w:val="009E30D5"/>
    <w:rsid w:val="009F0ABC"/>
    <w:rsid w:val="009F0C2C"/>
    <w:rsid w:val="009F3D69"/>
    <w:rsid w:val="009F580D"/>
    <w:rsid w:val="009F74B7"/>
    <w:rsid w:val="00A02A64"/>
    <w:rsid w:val="00A03248"/>
    <w:rsid w:val="00A03BC1"/>
    <w:rsid w:val="00A06757"/>
    <w:rsid w:val="00A101D1"/>
    <w:rsid w:val="00A10C95"/>
    <w:rsid w:val="00A11B59"/>
    <w:rsid w:val="00A1272D"/>
    <w:rsid w:val="00A1362C"/>
    <w:rsid w:val="00A1396D"/>
    <w:rsid w:val="00A16508"/>
    <w:rsid w:val="00A16B7C"/>
    <w:rsid w:val="00A20668"/>
    <w:rsid w:val="00A21608"/>
    <w:rsid w:val="00A242F0"/>
    <w:rsid w:val="00A266F0"/>
    <w:rsid w:val="00A275F7"/>
    <w:rsid w:val="00A3096B"/>
    <w:rsid w:val="00A32370"/>
    <w:rsid w:val="00A32B84"/>
    <w:rsid w:val="00A3478C"/>
    <w:rsid w:val="00A40A0A"/>
    <w:rsid w:val="00A41FAB"/>
    <w:rsid w:val="00A44BFE"/>
    <w:rsid w:val="00A454CC"/>
    <w:rsid w:val="00A5163F"/>
    <w:rsid w:val="00A516A6"/>
    <w:rsid w:val="00A53BD6"/>
    <w:rsid w:val="00A540AD"/>
    <w:rsid w:val="00A54AC8"/>
    <w:rsid w:val="00A56442"/>
    <w:rsid w:val="00A56EA8"/>
    <w:rsid w:val="00A57D21"/>
    <w:rsid w:val="00A60D26"/>
    <w:rsid w:val="00A61524"/>
    <w:rsid w:val="00A622FB"/>
    <w:rsid w:val="00A63C4C"/>
    <w:rsid w:val="00A64290"/>
    <w:rsid w:val="00A646A5"/>
    <w:rsid w:val="00A70414"/>
    <w:rsid w:val="00A7304E"/>
    <w:rsid w:val="00A7647B"/>
    <w:rsid w:val="00A81BFF"/>
    <w:rsid w:val="00A850A8"/>
    <w:rsid w:val="00A87042"/>
    <w:rsid w:val="00A93E65"/>
    <w:rsid w:val="00A9488A"/>
    <w:rsid w:val="00A96936"/>
    <w:rsid w:val="00AA3A66"/>
    <w:rsid w:val="00AA42B6"/>
    <w:rsid w:val="00AA5327"/>
    <w:rsid w:val="00AA72D7"/>
    <w:rsid w:val="00AB158E"/>
    <w:rsid w:val="00AB1BBC"/>
    <w:rsid w:val="00AB24EB"/>
    <w:rsid w:val="00AB2969"/>
    <w:rsid w:val="00AB52DC"/>
    <w:rsid w:val="00AB7CED"/>
    <w:rsid w:val="00AC140E"/>
    <w:rsid w:val="00AC2A96"/>
    <w:rsid w:val="00AC2D3A"/>
    <w:rsid w:val="00AD172A"/>
    <w:rsid w:val="00AD77D4"/>
    <w:rsid w:val="00AE02CC"/>
    <w:rsid w:val="00AE036E"/>
    <w:rsid w:val="00AE144F"/>
    <w:rsid w:val="00AE1983"/>
    <w:rsid w:val="00AE36DF"/>
    <w:rsid w:val="00AE3DF1"/>
    <w:rsid w:val="00AE694B"/>
    <w:rsid w:val="00AE7154"/>
    <w:rsid w:val="00AF1280"/>
    <w:rsid w:val="00AF58C0"/>
    <w:rsid w:val="00AF7C7F"/>
    <w:rsid w:val="00B042DF"/>
    <w:rsid w:val="00B0490C"/>
    <w:rsid w:val="00B06A81"/>
    <w:rsid w:val="00B073C5"/>
    <w:rsid w:val="00B078DB"/>
    <w:rsid w:val="00B11107"/>
    <w:rsid w:val="00B11CCE"/>
    <w:rsid w:val="00B1305A"/>
    <w:rsid w:val="00B1393B"/>
    <w:rsid w:val="00B1393E"/>
    <w:rsid w:val="00B13C9B"/>
    <w:rsid w:val="00B167E0"/>
    <w:rsid w:val="00B16FF6"/>
    <w:rsid w:val="00B21EA7"/>
    <w:rsid w:val="00B2288C"/>
    <w:rsid w:val="00B2303B"/>
    <w:rsid w:val="00B23141"/>
    <w:rsid w:val="00B23593"/>
    <w:rsid w:val="00B2409D"/>
    <w:rsid w:val="00B249E9"/>
    <w:rsid w:val="00B24A05"/>
    <w:rsid w:val="00B318EC"/>
    <w:rsid w:val="00B31B75"/>
    <w:rsid w:val="00B321C0"/>
    <w:rsid w:val="00B354D7"/>
    <w:rsid w:val="00B35848"/>
    <w:rsid w:val="00B40CD2"/>
    <w:rsid w:val="00B414F2"/>
    <w:rsid w:val="00B43807"/>
    <w:rsid w:val="00B45C82"/>
    <w:rsid w:val="00B500AF"/>
    <w:rsid w:val="00B50C24"/>
    <w:rsid w:val="00B51538"/>
    <w:rsid w:val="00B55AE0"/>
    <w:rsid w:val="00B57CCA"/>
    <w:rsid w:val="00B60C5B"/>
    <w:rsid w:val="00B62E2D"/>
    <w:rsid w:val="00B64520"/>
    <w:rsid w:val="00B708A2"/>
    <w:rsid w:val="00B72E4B"/>
    <w:rsid w:val="00B75B79"/>
    <w:rsid w:val="00B76BA9"/>
    <w:rsid w:val="00B76CD2"/>
    <w:rsid w:val="00B77C5D"/>
    <w:rsid w:val="00B80FBF"/>
    <w:rsid w:val="00B8385A"/>
    <w:rsid w:val="00B84595"/>
    <w:rsid w:val="00B856FD"/>
    <w:rsid w:val="00B87A83"/>
    <w:rsid w:val="00B87CA7"/>
    <w:rsid w:val="00B95AA0"/>
    <w:rsid w:val="00B9648B"/>
    <w:rsid w:val="00BA16BC"/>
    <w:rsid w:val="00BA2208"/>
    <w:rsid w:val="00BA245C"/>
    <w:rsid w:val="00BA6DC0"/>
    <w:rsid w:val="00BB0C44"/>
    <w:rsid w:val="00BB1413"/>
    <w:rsid w:val="00BB1583"/>
    <w:rsid w:val="00BB23FF"/>
    <w:rsid w:val="00BB3C23"/>
    <w:rsid w:val="00BB4409"/>
    <w:rsid w:val="00BB4D21"/>
    <w:rsid w:val="00BB58DE"/>
    <w:rsid w:val="00BB63CE"/>
    <w:rsid w:val="00BB73D5"/>
    <w:rsid w:val="00BC2F03"/>
    <w:rsid w:val="00BC45BD"/>
    <w:rsid w:val="00BC6B27"/>
    <w:rsid w:val="00BD3364"/>
    <w:rsid w:val="00BD4F62"/>
    <w:rsid w:val="00BD682A"/>
    <w:rsid w:val="00BE1FEE"/>
    <w:rsid w:val="00BE424D"/>
    <w:rsid w:val="00BE715F"/>
    <w:rsid w:val="00BF0ABE"/>
    <w:rsid w:val="00BF150E"/>
    <w:rsid w:val="00BF1E36"/>
    <w:rsid w:val="00BF46E1"/>
    <w:rsid w:val="00BF5C84"/>
    <w:rsid w:val="00BF700E"/>
    <w:rsid w:val="00BF78C2"/>
    <w:rsid w:val="00C03EF9"/>
    <w:rsid w:val="00C04F96"/>
    <w:rsid w:val="00C06CF8"/>
    <w:rsid w:val="00C075DA"/>
    <w:rsid w:val="00C1003C"/>
    <w:rsid w:val="00C10827"/>
    <w:rsid w:val="00C12F5E"/>
    <w:rsid w:val="00C13A8B"/>
    <w:rsid w:val="00C16131"/>
    <w:rsid w:val="00C16DBA"/>
    <w:rsid w:val="00C2162B"/>
    <w:rsid w:val="00C21BAE"/>
    <w:rsid w:val="00C23734"/>
    <w:rsid w:val="00C25D9A"/>
    <w:rsid w:val="00C2762F"/>
    <w:rsid w:val="00C310E2"/>
    <w:rsid w:val="00C32ED7"/>
    <w:rsid w:val="00C33573"/>
    <w:rsid w:val="00C34492"/>
    <w:rsid w:val="00C40AA2"/>
    <w:rsid w:val="00C40BC6"/>
    <w:rsid w:val="00C41EFC"/>
    <w:rsid w:val="00C4260F"/>
    <w:rsid w:val="00C437B1"/>
    <w:rsid w:val="00C43E5B"/>
    <w:rsid w:val="00C4786E"/>
    <w:rsid w:val="00C50375"/>
    <w:rsid w:val="00C526CB"/>
    <w:rsid w:val="00C52720"/>
    <w:rsid w:val="00C52B85"/>
    <w:rsid w:val="00C53F67"/>
    <w:rsid w:val="00C548CD"/>
    <w:rsid w:val="00C54C27"/>
    <w:rsid w:val="00C54E55"/>
    <w:rsid w:val="00C649AA"/>
    <w:rsid w:val="00C665F0"/>
    <w:rsid w:val="00C70E44"/>
    <w:rsid w:val="00C716A1"/>
    <w:rsid w:val="00C736F1"/>
    <w:rsid w:val="00C77FED"/>
    <w:rsid w:val="00C8061E"/>
    <w:rsid w:val="00C80DA8"/>
    <w:rsid w:val="00C81121"/>
    <w:rsid w:val="00C8359D"/>
    <w:rsid w:val="00C8759B"/>
    <w:rsid w:val="00C875C6"/>
    <w:rsid w:val="00C90DB0"/>
    <w:rsid w:val="00C94D43"/>
    <w:rsid w:val="00C96495"/>
    <w:rsid w:val="00C978A9"/>
    <w:rsid w:val="00C97F04"/>
    <w:rsid w:val="00CA323C"/>
    <w:rsid w:val="00CA4DCA"/>
    <w:rsid w:val="00CA6B06"/>
    <w:rsid w:val="00CA7FB1"/>
    <w:rsid w:val="00CB3814"/>
    <w:rsid w:val="00CB3894"/>
    <w:rsid w:val="00CC055F"/>
    <w:rsid w:val="00CC07C3"/>
    <w:rsid w:val="00CC303D"/>
    <w:rsid w:val="00CC39BE"/>
    <w:rsid w:val="00CD1005"/>
    <w:rsid w:val="00CD5703"/>
    <w:rsid w:val="00CD78B8"/>
    <w:rsid w:val="00CE3650"/>
    <w:rsid w:val="00CE4F92"/>
    <w:rsid w:val="00CF014C"/>
    <w:rsid w:val="00CF27F8"/>
    <w:rsid w:val="00CF3657"/>
    <w:rsid w:val="00CF3DC0"/>
    <w:rsid w:val="00CF40F4"/>
    <w:rsid w:val="00CF6F92"/>
    <w:rsid w:val="00CF70B9"/>
    <w:rsid w:val="00CF7E1A"/>
    <w:rsid w:val="00D01C10"/>
    <w:rsid w:val="00D06D16"/>
    <w:rsid w:val="00D10F94"/>
    <w:rsid w:val="00D13EC1"/>
    <w:rsid w:val="00D1406E"/>
    <w:rsid w:val="00D1571D"/>
    <w:rsid w:val="00D15B54"/>
    <w:rsid w:val="00D15EDD"/>
    <w:rsid w:val="00D16BC9"/>
    <w:rsid w:val="00D213F2"/>
    <w:rsid w:val="00D218B4"/>
    <w:rsid w:val="00D219D2"/>
    <w:rsid w:val="00D24F50"/>
    <w:rsid w:val="00D27250"/>
    <w:rsid w:val="00D27E65"/>
    <w:rsid w:val="00D30694"/>
    <w:rsid w:val="00D31D71"/>
    <w:rsid w:val="00D3263E"/>
    <w:rsid w:val="00D365E0"/>
    <w:rsid w:val="00D45544"/>
    <w:rsid w:val="00D45E01"/>
    <w:rsid w:val="00D4608F"/>
    <w:rsid w:val="00D46740"/>
    <w:rsid w:val="00D46A4A"/>
    <w:rsid w:val="00D46CB7"/>
    <w:rsid w:val="00D47F68"/>
    <w:rsid w:val="00D5241F"/>
    <w:rsid w:val="00D53D01"/>
    <w:rsid w:val="00D54501"/>
    <w:rsid w:val="00D546EF"/>
    <w:rsid w:val="00D60B56"/>
    <w:rsid w:val="00D63BB8"/>
    <w:rsid w:val="00D652BA"/>
    <w:rsid w:val="00D654AC"/>
    <w:rsid w:val="00D66626"/>
    <w:rsid w:val="00D7561F"/>
    <w:rsid w:val="00D75E61"/>
    <w:rsid w:val="00D7615B"/>
    <w:rsid w:val="00D77635"/>
    <w:rsid w:val="00D77669"/>
    <w:rsid w:val="00D82D03"/>
    <w:rsid w:val="00D838BF"/>
    <w:rsid w:val="00D849B5"/>
    <w:rsid w:val="00D879DA"/>
    <w:rsid w:val="00D91DF7"/>
    <w:rsid w:val="00D93455"/>
    <w:rsid w:val="00D948F1"/>
    <w:rsid w:val="00D96403"/>
    <w:rsid w:val="00DA0A09"/>
    <w:rsid w:val="00DA2BD6"/>
    <w:rsid w:val="00DA64BD"/>
    <w:rsid w:val="00DA6D13"/>
    <w:rsid w:val="00DA7E7B"/>
    <w:rsid w:val="00DB2CAD"/>
    <w:rsid w:val="00DB477C"/>
    <w:rsid w:val="00DB5EBA"/>
    <w:rsid w:val="00DB7580"/>
    <w:rsid w:val="00DC0AFC"/>
    <w:rsid w:val="00DC108D"/>
    <w:rsid w:val="00DC2E58"/>
    <w:rsid w:val="00DC5CD3"/>
    <w:rsid w:val="00DD346B"/>
    <w:rsid w:val="00DD3BB0"/>
    <w:rsid w:val="00DD56D1"/>
    <w:rsid w:val="00DD5A94"/>
    <w:rsid w:val="00DD6D52"/>
    <w:rsid w:val="00DE0C3F"/>
    <w:rsid w:val="00DE5E40"/>
    <w:rsid w:val="00DF0477"/>
    <w:rsid w:val="00DF4760"/>
    <w:rsid w:val="00DF6D1D"/>
    <w:rsid w:val="00DF79FC"/>
    <w:rsid w:val="00E00E34"/>
    <w:rsid w:val="00E023A3"/>
    <w:rsid w:val="00E037B4"/>
    <w:rsid w:val="00E04072"/>
    <w:rsid w:val="00E0588B"/>
    <w:rsid w:val="00E10496"/>
    <w:rsid w:val="00E17C31"/>
    <w:rsid w:val="00E17CF0"/>
    <w:rsid w:val="00E21174"/>
    <w:rsid w:val="00E21418"/>
    <w:rsid w:val="00E218C0"/>
    <w:rsid w:val="00E21ECA"/>
    <w:rsid w:val="00E2248C"/>
    <w:rsid w:val="00E2311F"/>
    <w:rsid w:val="00E33D79"/>
    <w:rsid w:val="00E35104"/>
    <w:rsid w:val="00E4191D"/>
    <w:rsid w:val="00E43318"/>
    <w:rsid w:val="00E44798"/>
    <w:rsid w:val="00E46E9E"/>
    <w:rsid w:val="00E47627"/>
    <w:rsid w:val="00E47F0C"/>
    <w:rsid w:val="00E52D23"/>
    <w:rsid w:val="00E62927"/>
    <w:rsid w:val="00E62F42"/>
    <w:rsid w:val="00E631F4"/>
    <w:rsid w:val="00E632E8"/>
    <w:rsid w:val="00E63403"/>
    <w:rsid w:val="00E64C14"/>
    <w:rsid w:val="00E67384"/>
    <w:rsid w:val="00E7068F"/>
    <w:rsid w:val="00E713AF"/>
    <w:rsid w:val="00E72077"/>
    <w:rsid w:val="00E738B5"/>
    <w:rsid w:val="00E75376"/>
    <w:rsid w:val="00E806AA"/>
    <w:rsid w:val="00E81464"/>
    <w:rsid w:val="00E82A5E"/>
    <w:rsid w:val="00E846F7"/>
    <w:rsid w:val="00E8635D"/>
    <w:rsid w:val="00E906EA"/>
    <w:rsid w:val="00E9293D"/>
    <w:rsid w:val="00E9583C"/>
    <w:rsid w:val="00E95B9C"/>
    <w:rsid w:val="00EA25EF"/>
    <w:rsid w:val="00EA29C8"/>
    <w:rsid w:val="00EA46A7"/>
    <w:rsid w:val="00EA64FA"/>
    <w:rsid w:val="00EA7317"/>
    <w:rsid w:val="00EB2155"/>
    <w:rsid w:val="00EB4C6C"/>
    <w:rsid w:val="00EB505F"/>
    <w:rsid w:val="00EB698B"/>
    <w:rsid w:val="00EC3A9C"/>
    <w:rsid w:val="00EC42F1"/>
    <w:rsid w:val="00EC76C0"/>
    <w:rsid w:val="00EC7FFE"/>
    <w:rsid w:val="00ED0288"/>
    <w:rsid w:val="00ED0AB3"/>
    <w:rsid w:val="00ED35A6"/>
    <w:rsid w:val="00ED37BC"/>
    <w:rsid w:val="00EE0D34"/>
    <w:rsid w:val="00EE2881"/>
    <w:rsid w:val="00EE3E2C"/>
    <w:rsid w:val="00EE505A"/>
    <w:rsid w:val="00EE60CB"/>
    <w:rsid w:val="00EE68A9"/>
    <w:rsid w:val="00EE6CAD"/>
    <w:rsid w:val="00EE7B06"/>
    <w:rsid w:val="00EF0F58"/>
    <w:rsid w:val="00EF288A"/>
    <w:rsid w:val="00EF5227"/>
    <w:rsid w:val="00EF58B0"/>
    <w:rsid w:val="00EF7562"/>
    <w:rsid w:val="00EF779D"/>
    <w:rsid w:val="00F00414"/>
    <w:rsid w:val="00F013A4"/>
    <w:rsid w:val="00F03B47"/>
    <w:rsid w:val="00F051D2"/>
    <w:rsid w:val="00F07035"/>
    <w:rsid w:val="00F070B0"/>
    <w:rsid w:val="00F07E1E"/>
    <w:rsid w:val="00F1296B"/>
    <w:rsid w:val="00F148C3"/>
    <w:rsid w:val="00F14CF9"/>
    <w:rsid w:val="00F14F67"/>
    <w:rsid w:val="00F15869"/>
    <w:rsid w:val="00F1699C"/>
    <w:rsid w:val="00F176EF"/>
    <w:rsid w:val="00F205FC"/>
    <w:rsid w:val="00F237F0"/>
    <w:rsid w:val="00F2663A"/>
    <w:rsid w:val="00F26701"/>
    <w:rsid w:val="00F26CB9"/>
    <w:rsid w:val="00F2747C"/>
    <w:rsid w:val="00F309D4"/>
    <w:rsid w:val="00F3172D"/>
    <w:rsid w:val="00F31D56"/>
    <w:rsid w:val="00F32A3E"/>
    <w:rsid w:val="00F33235"/>
    <w:rsid w:val="00F33692"/>
    <w:rsid w:val="00F342B6"/>
    <w:rsid w:val="00F34C4F"/>
    <w:rsid w:val="00F356F7"/>
    <w:rsid w:val="00F36B15"/>
    <w:rsid w:val="00F4034B"/>
    <w:rsid w:val="00F409BD"/>
    <w:rsid w:val="00F40A95"/>
    <w:rsid w:val="00F4263A"/>
    <w:rsid w:val="00F465C1"/>
    <w:rsid w:val="00F51F42"/>
    <w:rsid w:val="00F525A0"/>
    <w:rsid w:val="00F53EF7"/>
    <w:rsid w:val="00F558CC"/>
    <w:rsid w:val="00F56333"/>
    <w:rsid w:val="00F570BD"/>
    <w:rsid w:val="00F6486F"/>
    <w:rsid w:val="00F66D7F"/>
    <w:rsid w:val="00F72090"/>
    <w:rsid w:val="00F72DEA"/>
    <w:rsid w:val="00F738AC"/>
    <w:rsid w:val="00F74986"/>
    <w:rsid w:val="00F75E79"/>
    <w:rsid w:val="00F7618C"/>
    <w:rsid w:val="00F76590"/>
    <w:rsid w:val="00F76C06"/>
    <w:rsid w:val="00F7733E"/>
    <w:rsid w:val="00F80B6E"/>
    <w:rsid w:val="00F80B96"/>
    <w:rsid w:val="00F82E55"/>
    <w:rsid w:val="00F82EF5"/>
    <w:rsid w:val="00F8321E"/>
    <w:rsid w:val="00F84CC0"/>
    <w:rsid w:val="00F85779"/>
    <w:rsid w:val="00F85FE4"/>
    <w:rsid w:val="00F876C4"/>
    <w:rsid w:val="00F87C89"/>
    <w:rsid w:val="00F92AF7"/>
    <w:rsid w:val="00F94A41"/>
    <w:rsid w:val="00F95652"/>
    <w:rsid w:val="00F96458"/>
    <w:rsid w:val="00F9650A"/>
    <w:rsid w:val="00FA104A"/>
    <w:rsid w:val="00FA3832"/>
    <w:rsid w:val="00FA3D4A"/>
    <w:rsid w:val="00FA4F2C"/>
    <w:rsid w:val="00FB19AC"/>
    <w:rsid w:val="00FB3EB8"/>
    <w:rsid w:val="00FB57F8"/>
    <w:rsid w:val="00FB75E9"/>
    <w:rsid w:val="00FB7833"/>
    <w:rsid w:val="00FC255F"/>
    <w:rsid w:val="00FC3D4E"/>
    <w:rsid w:val="00FC4AC8"/>
    <w:rsid w:val="00FC6E39"/>
    <w:rsid w:val="00FD159F"/>
    <w:rsid w:val="00FD15AE"/>
    <w:rsid w:val="00FD2341"/>
    <w:rsid w:val="00FD5BA9"/>
    <w:rsid w:val="00FD664E"/>
    <w:rsid w:val="00FD7E39"/>
    <w:rsid w:val="00FE2A46"/>
    <w:rsid w:val="00FE3AB0"/>
    <w:rsid w:val="00FE6B12"/>
    <w:rsid w:val="00FE7B8F"/>
    <w:rsid w:val="00FF02CF"/>
    <w:rsid w:val="00FF1352"/>
    <w:rsid w:val="00FF15A6"/>
    <w:rsid w:val="00FF186C"/>
    <w:rsid w:val="00FF2660"/>
    <w:rsid w:val="00FF2839"/>
    <w:rsid w:val="00FF5D76"/>
    <w:rsid w:val="01052B55"/>
    <w:rsid w:val="013A13F3"/>
    <w:rsid w:val="02020601"/>
    <w:rsid w:val="027034BF"/>
    <w:rsid w:val="027C0D82"/>
    <w:rsid w:val="035B3698"/>
    <w:rsid w:val="03936832"/>
    <w:rsid w:val="041116DA"/>
    <w:rsid w:val="044C1286"/>
    <w:rsid w:val="04A17141"/>
    <w:rsid w:val="04F25749"/>
    <w:rsid w:val="051E6681"/>
    <w:rsid w:val="05A922AE"/>
    <w:rsid w:val="05EA7ABD"/>
    <w:rsid w:val="06086F2D"/>
    <w:rsid w:val="06380CB5"/>
    <w:rsid w:val="06CF6173"/>
    <w:rsid w:val="06E954C2"/>
    <w:rsid w:val="073A1946"/>
    <w:rsid w:val="07430C48"/>
    <w:rsid w:val="076B3DB5"/>
    <w:rsid w:val="07D2412B"/>
    <w:rsid w:val="07E001D1"/>
    <w:rsid w:val="082C4955"/>
    <w:rsid w:val="08987438"/>
    <w:rsid w:val="09125FD8"/>
    <w:rsid w:val="09150AD3"/>
    <w:rsid w:val="092E3B86"/>
    <w:rsid w:val="096F5D2A"/>
    <w:rsid w:val="09ED69F7"/>
    <w:rsid w:val="0A00096B"/>
    <w:rsid w:val="0AD20A66"/>
    <w:rsid w:val="0B277333"/>
    <w:rsid w:val="0B2B460E"/>
    <w:rsid w:val="0B7C1A2E"/>
    <w:rsid w:val="0BEE3835"/>
    <w:rsid w:val="0C751732"/>
    <w:rsid w:val="0C7C7483"/>
    <w:rsid w:val="0DD30CA0"/>
    <w:rsid w:val="0DE17F21"/>
    <w:rsid w:val="0E0A65F6"/>
    <w:rsid w:val="0F55467A"/>
    <w:rsid w:val="0F9C7D7A"/>
    <w:rsid w:val="0FBB286D"/>
    <w:rsid w:val="0FDB70A1"/>
    <w:rsid w:val="103D7BC9"/>
    <w:rsid w:val="11065028"/>
    <w:rsid w:val="11553CEB"/>
    <w:rsid w:val="11690379"/>
    <w:rsid w:val="11800985"/>
    <w:rsid w:val="11843A56"/>
    <w:rsid w:val="11A56FD5"/>
    <w:rsid w:val="11C72123"/>
    <w:rsid w:val="1286388B"/>
    <w:rsid w:val="12B55901"/>
    <w:rsid w:val="12ED35B8"/>
    <w:rsid w:val="13342A10"/>
    <w:rsid w:val="136D6A72"/>
    <w:rsid w:val="13A312CF"/>
    <w:rsid w:val="13F96ADA"/>
    <w:rsid w:val="1414120C"/>
    <w:rsid w:val="1428160F"/>
    <w:rsid w:val="147820A1"/>
    <w:rsid w:val="148E5A3C"/>
    <w:rsid w:val="14DA32BA"/>
    <w:rsid w:val="156C3B4D"/>
    <w:rsid w:val="1653104E"/>
    <w:rsid w:val="16533C8F"/>
    <w:rsid w:val="168A6399"/>
    <w:rsid w:val="16952F1A"/>
    <w:rsid w:val="16BA6639"/>
    <w:rsid w:val="17002AA0"/>
    <w:rsid w:val="179127BD"/>
    <w:rsid w:val="17C60A9A"/>
    <w:rsid w:val="18184EB9"/>
    <w:rsid w:val="18386492"/>
    <w:rsid w:val="18514DC1"/>
    <w:rsid w:val="18945C28"/>
    <w:rsid w:val="18B83E01"/>
    <w:rsid w:val="18C47DEA"/>
    <w:rsid w:val="18D84E4C"/>
    <w:rsid w:val="18E52AE2"/>
    <w:rsid w:val="190569B5"/>
    <w:rsid w:val="19320CD7"/>
    <w:rsid w:val="19445AC9"/>
    <w:rsid w:val="195022CB"/>
    <w:rsid w:val="19806296"/>
    <w:rsid w:val="199714F2"/>
    <w:rsid w:val="19B26266"/>
    <w:rsid w:val="1A212A43"/>
    <w:rsid w:val="1A2A7089"/>
    <w:rsid w:val="1A3C44FD"/>
    <w:rsid w:val="1A6C1041"/>
    <w:rsid w:val="1AC6529E"/>
    <w:rsid w:val="1AEF132D"/>
    <w:rsid w:val="1AEF2AC7"/>
    <w:rsid w:val="1B26014D"/>
    <w:rsid w:val="1B297E2F"/>
    <w:rsid w:val="1B623083"/>
    <w:rsid w:val="1B8B2F1A"/>
    <w:rsid w:val="1BAF270A"/>
    <w:rsid w:val="1BC00FBB"/>
    <w:rsid w:val="1BDE485B"/>
    <w:rsid w:val="1C07141D"/>
    <w:rsid w:val="1C9329CC"/>
    <w:rsid w:val="1CFF2A4C"/>
    <w:rsid w:val="1D274763"/>
    <w:rsid w:val="1D581C9D"/>
    <w:rsid w:val="1D5B1830"/>
    <w:rsid w:val="1D9F753B"/>
    <w:rsid w:val="1E7B0387"/>
    <w:rsid w:val="1EFE231E"/>
    <w:rsid w:val="1F5F3595"/>
    <w:rsid w:val="20043E3B"/>
    <w:rsid w:val="20434BC9"/>
    <w:rsid w:val="20644490"/>
    <w:rsid w:val="20A03FE9"/>
    <w:rsid w:val="20F07590"/>
    <w:rsid w:val="215C205A"/>
    <w:rsid w:val="21E22F86"/>
    <w:rsid w:val="2271026A"/>
    <w:rsid w:val="229A2A9B"/>
    <w:rsid w:val="236B2DF5"/>
    <w:rsid w:val="23BC2167"/>
    <w:rsid w:val="23F956E8"/>
    <w:rsid w:val="240B71E5"/>
    <w:rsid w:val="24314605"/>
    <w:rsid w:val="24572F93"/>
    <w:rsid w:val="24712E2A"/>
    <w:rsid w:val="24D40AD8"/>
    <w:rsid w:val="24DE660F"/>
    <w:rsid w:val="252C3727"/>
    <w:rsid w:val="25DE1E86"/>
    <w:rsid w:val="26051068"/>
    <w:rsid w:val="263267A9"/>
    <w:rsid w:val="26627FDF"/>
    <w:rsid w:val="269B16A6"/>
    <w:rsid w:val="26AE34CC"/>
    <w:rsid w:val="27362F9C"/>
    <w:rsid w:val="27543919"/>
    <w:rsid w:val="27D67222"/>
    <w:rsid w:val="28971EB4"/>
    <w:rsid w:val="28EA609B"/>
    <w:rsid w:val="293455A1"/>
    <w:rsid w:val="295059AB"/>
    <w:rsid w:val="2A8A7594"/>
    <w:rsid w:val="2A8B5CEB"/>
    <w:rsid w:val="2A9C45CF"/>
    <w:rsid w:val="2AC50DCD"/>
    <w:rsid w:val="2B177920"/>
    <w:rsid w:val="2B453133"/>
    <w:rsid w:val="2BB156DB"/>
    <w:rsid w:val="2BB770CE"/>
    <w:rsid w:val="2BC45153"/>
    <w:rsid w:val="2C0C273F"/>
    <w:rsid w:val="2C2A4257"/>
    <w:rsid w:val="2CB41962"/>
    <w:rsid w:val="2CC803F0"/>
    <w:rsid w:val="2CD30DCE"/>
    <w:rsid w:val="2CE93570"/>
    <w:rsid w:val="2CED6849"/>
    <w:rsid w:val="2CF32911"/>
    <w:rsid w:val="2D3575A7"/>
    <w:rsid w:val="2D804147"/>
    <w:rsid w:val="2D9034E0"/>
    <w:rsid w:val="2DC5530F"/>
    <w:rsid w:val="2DE84314"/>
    <w:rsid w:val="2E801A0F"/>
    <w:rsid w:val="2EEA2FF1"/>
    <w:rsid w:val="2F7E7D14"/>
    <w:rsid w:val="2F857457"/>
    <w:rsid w:val="2FA42606"/>
    <w:rsid w:val="2FAE4FE4"/>
    <w:rsid w:val="2FFE17C3"/>
    <w:rsid w:val="30B521B2"/>
    <w:rsid w:val="30D81900"/>
    <w:rsid w:val="31CE7C9D"/>
    <w:rsid w:val="31F95077"/>
    <w:rsid w:val="33067564"/>
    <w:rsid w:val="33C60331"/>
    <w:rsid w:val="33CE0B94"/>
    <w:rsid w:val="33F52722"/>
    <w:rsid w:val="34376441"/>
    <w:rsid w:val="34433822"/>
    <w:rsid w:val="34480131"/>
    <w:rsid w:val="3462705F"/>
    <w:rsid w:val="347B2A5F"/>
    <w:rsid w:val="34F644B4"/>
    <w:rsid w:val="35366A4B"/>
    <w:rsid w:val="35B2273C"/>
    <w:rsid w:val="35F648F1"/>
    <w:rsid w:val="361E537C"/>
    <w:rsid w:val="36E15CCC"/>
    <w:rsid w:val="37AD13F0"/>
    <w:rsid w:val="37ED0366"/>
    <w:rsid w:val="37FE070D"/>
    <w:rsid w:val="38062846"/>
    <w:rsid w:val="387826D6"/>
    <w:rsid w:val="38EF541F"/>
    <w:rsid w:val="3966151E"/>
    <w:rsid w:val="39E428D4"/>
    <w:rsid w:val="3A2E3B9C"/>
    <w:rsid w:val="3A5448E4"/>
    <w:rsid w:val="3A5E6BCF"/>
    <w:rsid w:val="3A972884"/>
    <w:rsid w:val="3ADA5F5B"/>
    <w:rsid w:val="3B957812"/>
    <w:rsid w:val="3BE6461C"/>
    <w:rsid w:val="3C0570D9"/>
    <w:rsid w:val="3C0A2120"/>
    <w:rsid w:val="3C4865B9"/>
    <w:rsid w:val="3C6658EF"/>
    <w:rsid w:val="3C913ADB"/>
    <w:rsid w:val="3D6E1D27"/>
    <w:rsid w:val="3D7764F8"/>
    <w:rsid w:val="3D815927"/>
    <w:rsid w:val="3DD35FAD"/>
    <w:rsid w:val="3DDC440A"/>
    <w:rsid w:val="3DFF4635"/>
    <w:rsid w:val="3F005A0B"/>
    <w:rsid w:val="3F1100E1"/>
    <w:rsid w:val="3F293727"/>
    <w:rsid w:val="3F3B7131"/>
    <w:rsid w:val="3F8454F8"/>
    <w:rsid w:val="407E0955"/>
    <w:rsid w:val="40924844"/>
    <w:rsid w:val="415A71B4"/>
    <w:rsid w:val="41845E43"/>
    <w:rsid w:val="419A0F9E"/>
    <w:rsid w:val="41D96E7B"/>
    <w:rsid w:val="42437EE7"/>
    <w:rsid w:val="42576CCF"/>
    <w:rsid w:val="426F705A"/>
    <w:rsid w:val="42C070DE"/>
    <w:rsid w:val="42C82002"/>
    <w:rsid w:val="42C92A92"/>
    <w:rsid w:val="42CA5234"/>
    <w:rsid w:val="42ED446C"/>
    <w:rsid w:val="42F631A0"/>
    <w:rsid w:val="439A2E13"/>
    <w:rsid w:val="43A92B45"/>
    <w:rsid w:val="43B66629"/>
    <w:rsid w:val="44B421E3"/>
    <w:rsid w:val="456F7D3B"/>
    <w:rsid w:val="45F5697D"/>
    <w:rsid w:val="46205FC2"/>
    <w:rsid w:val="46933148"/>
    <w:rsid w:val="469E03D4"/>
    <w:rsid w:val="46E41B68"/>
    <w:rsid w:val="47280543"/>
    <w:rsid w:val="473E76DD"/>
    <w:rsid w:val="476F695E"/>
    <w:rsid w:val="47D820ED"/>
    <w:rsid w:val="48A96108"/>
    <w:rsid w:val="493227C9"/>
    <w:rsid w:val="4965501A"/>
    <w:rsid w:val="498431E4"/>
    <w:rsid w:val="4A711C2D"/>
    <w:rsid w:val="4A8846CF"/>
    <w:rsid w:val="4AD76BCE"/>
    <w:rsid w:val="4B1B42FD"/>
    <w:rsid w:val="4B3B34DF"/>
    <w:rsid w:val="4B4D61A4"/>
    <w:rsid w:val="4BBD044C"/>
    <w:rsid w:val="4BC47F1C"/>
    <w:rsid w:val="4C3109EA"/>
    <w:rsid w:val="4C486D34"/>
    <w:rsid w:val="4C513E72"/>
    <w:rsid w:val="4CAE2687"/>
    <w:rsid w:val="4CE31F92"/>
    <w:rsid w:val="4D7E6C84"/>
    <w:rsid w:val="4DC66AEC"/>
    <w:rsid w:val="4DE77C93"/>
    <w:rsid w:val="4E0D4F50"/>
    <w:rsid w:val="4E6155BC"/>
    <w:rsid w:val="4EEE4BE3"/>
    <w:rsid w:val="4F37007B"/>
    <w:rsid w:val="4F6C7A7D"/>
    <w:rsid w:val="4FD40D1A"/>
    <w:rsid w:val="51082E30"/>
    <w:rsid w:val="513753CB"/>
    <w:rsid w:val="5139389D"/>
    <w:rsid w:val="51435161"/>
    <w:rsid w:val="51726F92"/>
    <w:rsid w:val="51D02733"/>
    <w:rsid w:val="52420521"/>
    <w:rsid w:val="52AC74CD"/>
    <w:rsid w:val="52FA0783"/>
    <w:rsid w:val="53516AC2"/>
    <w:rsid w:val="535253F6"/>
    <w:rsid w:val="5412647E"/>
    <w:rsid w:val="542C4FB1"/>
    <w:rsid w:val="548B4638"/>
    <w:rsid w:val="54EF1ECD"/>
    <w:rsid w:val="55770611"/>
    <w:rsid w:val="565A2770"/>
    <w:rsid w:val="56E30DD9"/>
    <w:rsid w:val="56EE7F34"/>
    <w:rsid w:val="57BE5885"/>
    <w:rsid w:val="58A838C5"/>
    <w:rsid w:val="58C92D9B"/>
    <w:rsid w:val="58D67527"/>
    <w:rsid w:val="590E314F"/>
    <w:rsid w:val="59B46CB6"/>
    <w:rsid w:val="59D2273B"/>
    <w:rsid w:val="5A1242B7"/>
    <w:rsid w:val="5A3B0E5F"/>
    <w:rsid w:val="5A536162"/>
    <w:rsid w:val="5A775BDF"/>
    <w:rsid w:val="5A953B0B"/>
    <w:rsid w:val="5AD60386"/>
    <w:rsid w:val="5B1B2272"/>
    <w:rsid w:val="5B2B47E6"/>
    <w:rsid w:val="5B896C56"/>
    <w:rsid w:val="5BD74676"/>
    <w:rsid w:val="5BEF33EB"/>
    <w:rsid w:val="5C1F762B"/>
    <w:rsid w:val="5C3C48BE"/>
    <w:rsid w:val="5CA34BCB"/>
    <w:rsid w:val="5CF004F6"/>
    <w:rsid w:val="5D0B2ACE"/>
    <w:rsid w:val="5D0F0F73"/>
    <w:rsid w:val="5D603E5F"/>
    <w:rsid w:val="5D7E7207"/>
    <w:rsid w:val="5DC12683"/>
    <w:rsid w:val="5E146736"/>
    <w:rsid w:val="5E6848B1"/>
    <w:rsid w:val="5EA76784"/>
    <w:rsid w:val="5EC4309A"/>
    <w:rsid w:val="5F1107EB"/>
    <w:rsid w:val="5F323B47"/>
    <w:rsid w:val="5F6D281B"/>
    <w:rsid w:val="60050339"/>
    <w:rsid w:val="601400DD"/>
    <w:rsid w:val="60540C67"/>
    <w:rsid w:val="60D9470A"/>
    <w:rsid w:val="610C6E26"/>
    <w:rsid w:val="61582821"/>
    <w:rsid w:val="61651821"/>
    <w:rsid w:val="616E0ABD"/>
    <w:rsid w:val="61A46F3F"/>
    <w:rsid w:val="61E11541"/>
    <w:rsid w:val="629D2943"/>
    <w:rsid w:val="62AF2987"/>
    <w:rsid w:val="62ED1A0A"/>
    <w:rsid w:val="63BD1CB7"/>
    <w:rsid w:val="63E90EE1"/>
    <w:rsid w:val="641A410B"/>
    <w:rsid w:val="6433023A"/>
    <w:rsid w:val="64334473"/>
    <w:rsid w:val="645753C8"/>
    <w:rsid w:val="6480487A"/>
    <w:rsid w:val="64951A4E"/>
    <w:rsid w:val="64965C6F"/>
    <w:rsid w:val="64E53D10"/>
    <w:rsid w:val="651E7856"/>
    <w:rsid w:val="65337308"/>
    <w:rsid w:val="66180327"/>
    <w:rsid w:val="66226DC8"/>
    <w:rsid w:val="66276507"/>
    <w:rsid w:val="6648471A"/>
    <w:rsid w:val="66540620"/>
    <w:rsid w:val="66C6572F"/>
    <w:rsid w:val="6732696D"/>
    <w:rsid w:val="67C54DA7"/>
    <w:rsid w:val="67DF4AF8"/>
    <w:rsid w:val="683A3346"/>
    <w:rsid w:val="68924931"/>
    <w:rsid w:val="68EF2B9E"/>
    <w:rsid w:val="69CC2668"/>
    <w:rsid w:val="69CF4339"/>
    <w:rsid w:val="6A4D717C"/>
    <w:rsid w:val="6A64761F"/>
    <w:rsid w:val="6A7A18B8"/>
    <w:rsid w:val="6A8A576A"/>
    <w:rsid w:val="6AFD6934"/>
    <w:rsid w:val="6B053F56"/>
    <w:rsid w:val="6BB05BAC"/>
    <w:rsid w:val="6C7411C5"/>
    <w:rsid w:val="6D947964"/>
    <w:rsid w:val="6DB04595"/>
    <w:rsid w:val="6DC6672E"/>
    <w:rsid w:val="6DD558E1"/>
    <w:rsid w:val="6E3B011F"/>
    <w:rsid w:val="6E664271"/>
    <w:rsid w:val="6E9BD0B1"/>
    <w:rsid w:val="6ED34311"/>
    <w:rsid w:val="6F335A6C"/>
    <w:rsid w:val="6F857008"/>
    <w:rsid w:val="6FB32306"/>
    <w:rsid w:val="6FB9953E"/>
    <w:rsid w:val="6FD6001A"/>
    <w:rsid w:val="7007647E"/>
    <w:rsid w:val="707E30F9"/>
    <w:rsid w:val="70AE2CB8"/>
    <w:rsid w:val="70B445EE"/>
    <w:rsid w:val="70B74920"/>
    <w:rsid w:val="70E3467D"/>
    <w:rsid w:val="71356BF3"/>
    <w:rsid w:val="715A500E"/>
    <w:rsid w:val="71AE61E2"/>
    <w:rsid w:val="722A5952"/>
    <w:rsid w:val="72626A05"/>
    <w:rsid w:val="730A20F2"/>
    <w:rsid w:val="734A6D57"/>
    <w:rsid w:val="735F7E91"/>
    <w:rsid w:val="73773E93"/>
    <w:rsid w:val="73D161A8"/>
    <w:rsid w:val="747A0105"/>
    <w:rsid w:val="75010E95"/>
    <w:rsid w:val="751A46E6"/>
    <w:rsid w:val="754A112F"/>
    <w:rsid w:val="759A1965"/>
    <w:rsid w:val="759B658C"/>
    <w:rsid w:val="75A35C8D"/>
    <w:rsid w:val="75AE275F"/>
    <w:rsid w:val="75E70816"/>
    <w:rsid w:val="76496329"/>
    <w:rsid w:val="76C97A9F"/>
    <w:rsid w:val="77371A8C"/>
    <w:rsid w:val="777319A5"/>
    <w:rsid w:val="77847E41"/>
    <w:rsid w:val="779B8E83"/>
    <w:rsid w:val="78344D6F"/>
    <w:rsid w:val="785052EA"/>
    <w:rsid w:val="79A33ADC"/>
    <w:rsid w:val="79FD4CC5"/>
    <w:rsid w:val="7A4C1604"/>
    <w:rsid w:val="7A811CDD"/>
    <w:rsid w:val="7AA97F4F"/>
    <w:rsid w:val="7AF7A29E"/>
    <w:rsid w:val="7B362AA8"/>
    <w:rsid w:val="7BB522F5"/>
    <w:rsid w:val="7BC66C29"/>
    <w:rsid w:val="7BCD42D8"/>
    <w:rsid w:val="7BE032D8"/>
    <w:rsid w:val="7C1E3535"/>
    <w:rsid w:val="7C262D5A"/>
    <w:rsid w:val="7C876210"/>
    <w:rsid w:val="7CA65E91"/>
    <w:rsid w:val="7D345608"/>
    <w:rsid w:val="7DADE718"/>
    <w:rsid w:val="7DD01D4A"/>
    <w:rsid w:val="7DFE2FDB"/>
    <w:rsid w:val="7E5A1AF3"/>
    <w:rsid w:val="7E79CFDB"/>
    <w:rsid w:val="7EE83E7B"/>
    <w:rsid w:val="7EEB18F2"/>
    <w:rsid w:val="7EF49468"/>
    <w:rsid w:val="7F0574A7"/>
    <w:rsid w:val="7F6F7CD9"/>
    <w:rsid w:val="7FAC00DF"/>
    <w:rsid w:val="7FDA1ED8"/>
    <w:rsid w:val="7FFB1549"/>
    <w:rsid w:val="7FFD7B93"/>
    <w:rsid w:val="7FFFC0F8"/>
    <w:rsid w:val="9FFFB59D"/>
    <w:rsid w:val="B3DF944D"/>
    <w:rsid w:val="BBB32AFC"/>
    <w:rsid w:val="BEE4B2EF"/>
    <w:rsid w:val="BF3F6A38"/>
    <w:rsid w:val="BFB7D6FD"/>
    <w:rsid w:val="BFF7CB60"/>
    <w:rsid w:val="C9BFC872"/>
    <w:rsid w:val="CDD79F8D"/>
    <w:rsid w:val="D77FB1D7"/>
    <w:rsid w:val="D7EB97CB"/>
    <w:rsid w:val="D9DFFEAB"/>
    <w:rsid w:val="DAF66649"/>
    <w:rsid w:val="DCEF3576"/>
    <w:rsid w:val="DDEFF8DF"/>
    <w:rsid w:val="DFFFD155"/>
    <w:rsid w:val="E9BF0FB3"/>
    <w:rsid w:val="EF7D2415"/>
    <w:rsid w:val="EFFF65F8"/>
    <w:rsid w:val="F7517A59"/>
    <w:rsid w:val="F8F7B8B6"/>
    <w:rsid w:val="F97C71B7"/>
    <w:rsid w:val="F97F36E4"/>
    <w:rsid w:val="FBDE6636"/>
    <w:rsid w:val="FBE6A3DC"/>
    <w:rsid w:val="FD5ED824"/>
    <w:rsid w:val="FD6FBB91"/>
    <w:rsid w:val="FE716EFB"/>
    <w:rsid w:val="FE77F361"/>
    <w:rsid w:val="FE7F073C"/>
    <w:rsid w:val="FEF728EA"/>
    <w:rsid w:val="FEFF542C"/>
    <w:rsid w:val="FF3EB605"/>
    <w:rsid w:val="FFBB9E4A"/>
    <w:rsid w:val="FFFBD855"/>
    <w:rsid w:val="FFFF3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8">
    <w:name w:val="heading 2"/>
    <w:basedOn w:val="1"/>
    <w:next w:val="1"/>
    <w:qFormat/>
    <w:uiPriority w:val="0"/>
    <w:pPr>
      <w:keepNext/>
      <w:keepLines/>
      <w:spacing w:before="260" w:after="260" w:line="416" w:lineRule="atLeast"/>
      <w:outlineLvl w:val="1"/>
    </w:pPr>
    <w:rPr>
      <w:rFonts w:ascii="Arial" w:hAnsi="Arial" w:eastAsia="黑体"/>
      <w:b/>
      <w:bCs/>
      <w:sz w:val="32"/>
      <w:szCs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paragraph" w:styleId="10">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38"/>
    <w:qFormat/>
    <w:uiPriority w:val="0"/>
    <w:pPr>
      <w:spacing w:before="0" w:beforeLines="0" w:after="120" w:afterLines="0" w:line="240" w:lineRule="auto"/>
      <w:ind w:left="420" w:leftChars="200" w:firstLine="420" w:firstLineChars="200"/>
    </w:pPr>
    <w:rPr>
      <w:rFonts w:ascii="Calibri" w:eastAsia="宋体"/>
      <w:sz w:val="21"/>
      <w:szCs w:val="24"/>
      <w:u w:val="none"/>
    </w:rPr>
  </w:style>
  <w:style w:type="paragraph" w:styleId="3">
    <w:name w:val="Body Text Indent"/>
    <w:basedOn w:val="1"/>
    <w:next w:val="4"/>
    <w:link w:val="35"/>
    <w:qFormat/>
    <w:uiPriority w:val="0"/>
    <w:pPr>
      <w:spacing w:before="156" w:beforeLines="50" w:after="156" w:afterLines="50" w:line="460" w:lineRule="exact"/>
      <w:ind w:firstLine="538" w:firstLineChars="192"/>
    </w:pPr>
    <w:rPr>
      <w:rFonts w:ascii="仿宋_GB2312" w:eastAsia="仿宋_GB2312"/>
      <w:sz w:val="28"/>
      <w:szCs w:val="27"/>
      <w:u w:val="single"/>
    </w:rPr>
  </w:style>
  <w:style w:type="paragraph" w:styleId="4">
    <w:name w:val="envelope return"/>
    <w:basedOn w:val="1"/>
    <w:qFormat/>
    <w:uiPriority w:val="0"/>
    <w:pPr>
      <w:snapToGrid w:val="0"/>
    </w:pPr>
    <w:rPr>
      <w:rFonts w:ascii="Arial" w:hAnsi="Arial"/>
    </w:rPr>
  </w:style>
  <w:style w:type="paragraph" w:styleId="5">
    <w:name w:val="Body Text"/>
    <w:basedOn w:val="1"/>
    <w:next w:val="6"/>
    <w:link w:val="34"/>
    <w:unhideWhenUsed/>
    <w:qFormat/>
    <w:uiPriority w:val="99"/>
    <w:rPr>
      <w:rFonts w:ascii="宋体" w:hAnsi="宋体" w:cs="宋体"/>
      <w:sz w:val="24"/>
    </w:rPr>
  </w:style>
  <w:style w:type="paragraph" w:styleId="6">
    <w:name w:val="Date"/>
    <w:basedOn w:val="1"/>
    <w:next w:val="1"/>
    <w:qFormat/>
    <w:uiPriority w:val="0"/>
    <w:rPr>
      <w:b/>
      <w:sz w:val="28"/>
    </w:rPr>
  </w:style>
  <w:style w:type="paragraph" w:styleId="11">
    <w:name w:val="Normal Indent"/>
    <w:basedOn w:val="1"/>
    <w:qFormat/>
    <w:uiPriority w:val="0"/>
    <w:pPr>
      <w:ind w:firstLine="420" w:firstLineChars="200"/>
    </w:pPr>
  </w:style>
  <w:style w:type="paragraph" w:styleId="12">
    <w:name w:val="annotation text"/>
    <w:basedOn w:val="1"/>
    <w:link w:val="33"/>
    <w:semiHidden/>
    <w:qFormat/>
    <w:uiPriority w:val="0"/>
    <w:pPr>
      <w:jc w:val="left"/>
    </w:pPr>
    <w:rPr>
      <w:szCs w:val="20"/>
    </w:rPr>
  </w:style>
  <w:style w:type="paragraph" w:styleId="13">
    <w:name w:val="Block Text"/>
    <w:basedOn w:val="1"/>
    <w:qFormat/>
    <w:uiPriority w:val="0"/>
    <w:pPr>
      <w:spacing w:line="360" w:lineRule="auto"/>
      <w:ind w:left="525" w:leftChars="250" w:right="206" w:rightChars="98" w:firstLine="480" w:firstLineChars="200"/>
    </w:pPr>
    <w:rPr>
      <w:rFonts w:eastAsia="楷体_GB2312"/>
      <w:sz w:val="24"/>
    </w:rPr>
  </w:style>
  <w:style w:type="paragraph" w:styleId="14">
    <w:name w:val="Balloon Text"/>
    <w:basedOn w:val="1"/>
    <w:semiHidden/>
    <w:qFormat/>
    <w:uiPriority w:val="0"/>
    <w:rPr>
      <w:sz w:val="18"/>
      <w:szCs w:val="18"/>
    </w:rPr>
  </w:style>
  <w:style w:type="paragraph" w:styleId="15">
    <w:name w:val="footer"/>
    <w:basedOn w:val="1"/>
    <w:link w:val="49"/>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line="320" w:lineRule="exact"/>
      <w:ind w:firstLine="480" w:firstLineChars="200"/>
    </w:pPr>
    <w:rPr>
      <w:rFonts w:ascii="黑体" w:hAnsi="宋体" w:eastAsia="黑体"/>
      <w:bCs/>
      <w:sz w:val="24"/>
      <w:szCs w:val="20"/>
    </w:rPr>
  </w:style>
  <w:style w:type="paragraph" w:styleId="18">
    <w:name w:val="List"/>
    <w:basedOn w:val="1"/>
    <w:qFormat/>
    <w:uiPriority w:val="0"/>
    <w:pPr>
      <w:ind w:left="200" w:hanging="200" w:hangingChars="200"/>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annotation subject"/>
    <w:basedOn w:val="12"/>
    <w:next w:val="12"/>
    <w:link w:val="36"/>
    <w:qFormat/>
    <w:uiPriority w:val="0"/>
    <w:rPr>
      <w:b/>
      <w:bCs/>
      <w:szCs w:val="24"/>
    </w:rPr>
  </w:style>
  <w:style w:type="paragraph" w:styleId="22">
    <w:name w:val="Body Text First Indent"/>
    <w:basedOn w:val="5"/>
    <w:link w:val="37"/>
    <w:qFormat/>
    <w:uiPriority w:val="0"/>
    <w:pPr>
      <w:spacing w:after="120"/>
      <w:ind w:firstLine="420" w:firstLineChars="100"/>
    </w:pPr>
    <w:rPr>
      <w:rFonts w:ascii="Calibri" w:hAnsi="Calibri" w:cs="Times New Roman"/>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page number"/>
    <w:qFormat/>
    <w:uiPriority w:val="0"/>
  </w:style>
  <w:style w:type="character" w:styleId="28">
    <w:name w:val="FollowedHyperlink"/>
    <w:qFormat/>
    <w:uiPriority w:val="0"/>
    <w:rPr>
      <w:color w:val="2D374B"/>
      <w:u w:val="none"/>
    </w:rPr>
  </w:style>
  <w:style w:type="character" w:styleId="29">
    <w:name w:val="Emphasis"/>
    <w:qFormat/>
    <w:uiPriority w:val="0"/>
  </w:style>
  <w:style w:type="character" w:styleId="30">
    <w:name w:val="Hyperlink"/>
    <w:qFormat/>
    <w:uiPriority w:val="99"/>
    <w:rPr>
      <w:color w:val="2D374B"/>
      <w:u w:val="none"/>
    </w:rPr>
  </w:style>
  <w:style w:type="character" w:styleId="31">
    <w:name w:val="annotation reference"/>
    <w:qFormat/>
    <w:uiPriority w:val="0"/>
    <w:rPr>
      <w:sz w:val="21"/>
      <w:szCs w:val="21"/>
    </w:rPr>
  </w:style>
  <w:style w:type="character" w:styleId="32">
    <w:name w:val="HTML Sample"/>
    <w:qFormat/>
    <w:uiPriority w:val="0"/>
    <w:rPr>
      <w:rFonts w:ascii="Courier New" w:hAnsi="Courier New"/>
    </w:rPr>
  </w:style>
  <w:style w:type="character" w:customStyle="1" w:styleId="33">
    <w:name w:val="批注文字 字符"/>
    <w:link w:val="12"/>
    <w:semiHidden/>
    <w:qFormat/>
    <w:uiPriority w:val="0"/>
    <w:rPr>
      <w:kern w:val="2"/>
      <w:sz w:val="21"/>
    </w:rPr>
  </w:style>
  <w:style w:type="character" w:customStyle="1" w:styleId="34">
    <w:name w:val="正文文本 字符"/>
    <w:link w:val="5"/>
    <w:qFormat/>
    <w:uiPriority w:val="99"/>
    <w:rPr>
      <w:rFonts w:ascii="宋体" w:hAnsi="宋体" w:cs="宋体"/>
      <w:kern w:val="2"/>
      <w:sz w:val="24"/>
      <w:szCs w:val="24"/>
    </w:rPr>
  </w:style>
  <w:style w:type="character" w:customStyle="1" w:styleId="35">
    <w:name w:val="正文文本缩进 字符"/>
    <w:link w:val="3"/>
    <w:qFormat/>
    <w:uiPriority w:val="0"/>
    <w:rPr>
      <w:rFonts w:ascii="仿宋_GB2312" w:eastAsia="仿宋_GB2312"/>
      <w:kern w:val="2"/>
      <w:sz w:val="28"/>
      <w:szCs w:val="27"/>
      <w:u w:val="single"/>
    </w:rPr>
  </w:style>
  <w:style w:type="character" w:customStyle="1" w:styleId="36">
    <w:name w:val="批注主题 字符"/>
    <w:link w:val="21"/>
    <w:qFormat/>
    <w:uiPriority w:val="0"/>
    <w:rPr>
      <w:b/>
      <w:bCs/>
      <w:kern w:val="2"/>
      <w:sz w:val="21"/>
      <w:szCs w:val="24"/>
    </w:rPr>
  </w:style>
  <w:style w:type="character" w:customStyle="1" w:styleId="37">
    <w:name w:val="正文文本首行缩进 字符"/>
    <w:link w:val="22"/>
    <w:qFormat/>
    <w:uiPriority w:val="0"/>
    <w:rPr>
      <w:rFonts w:ascii="宋体" w:hAnsi="宋体" w:cs="宋体"/>
      <w:kern w:val="2"/>
      <w:sz w:val="21"/>
      <w:szCs w:val="24"/>
    </w:rPr>
  </w:style>
  <w:style w:type="character" w:customStyle="1" w:styleId="38">
    <w:name w:val="正文文本首行缩进 2 字符"/>
    <w:link w:val="2"/>
    <w:qFormat/>
    <w:uiPriority w:val="0"/>
    <w:rPr>
      <w:rFonts w:ascii="仿宋_GB2312" w:eastAsia="仿宋_GB2312"/>
      <w:kern w:val="2"/>
      <w:sz w:val="21"/>
      <w:szCs w:val="24"/>
      <w:u w:val="single"/>
    </w:rPr>
  </w:style>
  <w:style w:type="paragraph" w:customStyle="1" w:styleId="39">
    <w:name w:val="Normal_36"/>
    <w:qFormat/>
    <w:uiPriority w:val="0"/>
    <w:pPr>
      <w:spacing w:before="120" w:after="240"/>
      <w:jc w:val="both"/>
    </w:pPr>
    <w:rPr>
      <w:rFonts w:ascii="Calibri" w:hAnsi="Calibri" w:eastAsia="Calibri" w:cs="Times New Roman"/>
      <w:sz w:val="22"/>
      <w:szCs w:val="22"/>
      <w:lang w:val="en-US" w:eastAsia="en-US" w:bidi="ar-SA"/>
    </w:rPr>
  </w:style>
  <w:style w:type="paragraph" w:customStyle="1" w:styleId="40">
    <w:name w:val="Char"/>
    <w:basedOn w:val="1"/>
    <w:qFormat/>
    <w:uiPriority w:val="0"/>
    <w:pPr>
      <w:tabs>
        <w:tab w:val="left" w:pos="360"/>
      </w:tabs>
    </w:pPr>
    <w:rPr>
      <w:sz w:val="24"/>
    </w:rPr>
  </w:style>
  <w:style w:type="paragraph" w:customStyle="1" w:styleId="41">
    <w:name w:val="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42">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 w:type="paragraph" w:customStyle="1" w:styleId="43">
    <w:name w:val="列表段落1"/>
    <w:basedOn w:val="1"/>
    <w:qFormat/>
    <w:uiPriority w:val="1"/>
    <w:pPr>
      <w:ind w:firstLine="420" w:firstLineChars="200"/>
    </w:pPr>
  </w:style>
  <w:style w:type="paragraph" w:customStyle="1" w:styleId="44">
    <w:name w:val="Char Char Char1 Char Char Char Char Char Char Char Char Char Char"/>
    <w:basedOn w:val="7"/>
    <w:qFormat/>
    <w:uiPriority w:val="0"/>
    <w:pPr>
      <w:spacing w:before="340" w:after="330" w:line="578" w:lineRule="auto"/>
      <w:jc w:val="both"/>
    </w:pPr>
    <w:rPr>
      <w:sz w:val="32"/>
      <w:szCs w:val="32"/>
    </w:rPr>
  </w:style>
  <w:style w:type="paragraph" w:customStyle="1" w:styleId="45">
    <w:name w:val="Char Char Char"/>
    <w:basedOn w:val="1"/>
    <w:qFormat/>
    <w:uiPriority w:val="0"/>
    <w:rPr>
      <w:szCs w:val="20"/>
    </w:rPr>
  </w:style>
  <w:style w:type="paragraph" w:customStyle="1" w:styleId="46">
    <w:name w:val="_Style 2"/>
    <w:basedOn w:val="1"/>
    <w:qFormat/>
    <w:uiPriority w:val="34"/>
    <w:pPr>
      <w:ind w:firstLine="420" w:firstLineChars="200"/>
    </w:pPr>
    <w:rPr>
      <w:rFonts w:ascii="仿宋_GB2312" w:eastAsia="仿宋_GB2312"/>
      <w:sz w:val="32"/>
      <w:szCs w:val="32"/>
    </w:rPr>
  </w:style>
  <w:style w:type="paragraph" w:customStyle="1" w:styleId="4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48">
    <w:name w:val="_Style 605"/>
    <w:basedOn w:val="5"/>
    <w:next w:val="22"/>
    <w:qFormat/>
    <w:uiPriority w:val="0"/>
    <w:pPr>
      <w:spacing w:after="120" w:line="360" w:lineRule="auto"/>
      <w:ind w:firstLine="200" w:firstLineChars="200"/>
    </w:pPr>
    <w:rPr>
      <w:rFonts w:ascii="仿宋_GB2312" w:hAnsi="Times New Roman" w:eastAsia="仿宋_GB2312" w:cs="Times New Roman"/>
      <w:bCs/>
      <w:kern w:val="0"/>
      <w:sz w:val="30"/>
    </w:rPr>
  </w:style>
  <w:style w:type="character" w:customStyle="1" w:styleId="49">
    <w:name w:val="页脚 字符"/>
    <w:link w:val="15"/>
    <w:qFormat/>
    <w:uiPriority w:val="99"/>
    <w:rPr>
      <w:kern w:val="2"/>
      <w:sz w:val="18"/>
      <w:szCs w:val="18"/>
    </w:rPr>
  </w:style>
  <w:style w:type="paragraph" w:customStyle="1" w:styleId="5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74CB1-53E4-48D6-9B5A-2EB3369FF464}">
  <ds:schemaRefs/>
</ds:datastoreItem>
</file>

<file path=docProps/app.xml><?xml version="1.0" encoding="utf-8"?>
<Properties xmlns="http://schemas.openxmlformats.org/officeDocument/2006/extended-properties" xmlns:vt="http://schemas.openxmlformats.org/officeDocument/2006/docPropsVTypes">
  <Template>Normal</Template>
  <Pages>30</Pages>
  <Words>10590</Words>
  <Characters>11014</Characters>
  <Lines>106</Lines>
  <Paragraphs>30</Paragraphs>
  <TotalTime>20</TotalTime>
  <ScaleCrop>false</ScaleCrop>
  <LinksUpToDate>false</LinksUpToDate>
  <CharactersWithSpaces>11197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2025-06-11T01:50:00Z</dcterms:created>
  <dc:creator>Administrator</dc:creator>
  <cp:lastModifiedBy>南客</cp:lastModifiedBy>
  <cp:lastPrinted>2019-02-26T14:51:00Z</cp:lastPrinted>
  <dcterms:modified xsi:type="dcterms:W3CDTF">2026-01-19T01:12:31Z</dcterms:modified>
  <dc:title>安徽公路官方微信、微博代运营、维护服务项目</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03B93CAA9B3246059FD9BF4025A0F576_13</vt:lpwstr>
  </property>
  <property fmtid="{D5CDD505-2E9C-101B-9397-08002B2CF9AE}" pid="4" name="KSOTemplateDocerSaveRecord">
    <vt:lpwstr>eyJoZGlkIjoiZTYwYjM1OGFmYmJjMmIyMGE2MjhkNDIyYTYzNjkzYzIiLCJ1c2VySWQiOiI2MDUxNTY1NDUifQ==</vt:lpwstr>
  </property>
</Properties>
</file>